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2022</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西藏自治区公有房屋管理局</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2022年度部门预算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西藏自治区公有房屋管理局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西藏自治区公有房屋管理局</w:t>
      </w:r>
      <w:r>
        <w:rPr>
          <w:rFonts w:hint="eastAsia" w:ascii="方正小标宋简体" w:hAnsi="仿宋" w:eastAsia="方正小标宋简体"/>
          <w:sz w:val="32"/>
          <w:szCs w:val="32"/>
        </w:rPr>
        <w:t>2022年度部门预算明细表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西藏自治区公有房屋管理局</w:t>
      </w:r>
      <w:r>
        <w:rPr>
          <w:rFonts w:hint="eastAsia" w:ascii="方正小标宋简体" w:hAnsi="仿宋" w:eastAsia="方正小标宋简体"/>
          <w:sz w:val="32"/>
          <w:szCs w:val="32"/>
        </w:rPr>
        <w:t>2022年度部门预算数据分析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西藏自治区公有房屋管理局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360" w:lineRule="auto"/>
        <w:ind w:firstLine="640" w:firstLineChars="200"/>
        <w:rPr>
          <w:rFonts w:ascii="宋体" w:hAnsi="宋体"/>
          <w:sz w:val="32"/>
          <w:szCs w:val="32"/>
        </w:rPr>
      </w:pPr>
      <w:r>
        <w:rPr>
          <w:rFonts w:hint="eastAsia" w:ascii="仿宋_GB2312" w:hAnsi="Calibri" w:eastAsia="仿宋_GB2312"/>
          <w:sz w:val="32"/>
          <w:szCs w:val="32"/>
        </w:rPr>
        <w:t>贯彻执行国家和自治区有关周转房、廉租住房、公有房屋租赁房、单位办公楼和业务用房等公有房屋建设管理的政策法规；指导各地（市）、县（市、区）房屋管理机构公有房屋的管理工作；承办区直统建周转房的具体事务性工作；承办对区直各机关公有住房租金管理有关规定的监督落实工作；负责对全区公有房屋的普查、登记、建档以及公有房屋数据信息系统的建设管理工作；负责对全区公有房屋的动态监督管理工作；负责全区公有房屋建设、维修改造及拆除等相关资料的备案工作。承办自治区住房和城乡建设厅交办的其他工作。</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w:t>
      </w:r>
      <w:r>
        <w:rPr>
          <w:rFonts w:hint="eastAsia" w:ascii="仿宋" w:hAnsi="仿宋" w:eastAsia="仿宋"/>
          <w:sz w:val="32"/>
          <w:szCs w:val="32"/>
          <w:u w:val="single"/>
        </w:rPr>
        <w:t xml:space="preserve">  </w:t>
      </w:r>
      <w:r>
        <w:rPr>
          <w:rFonts w:hint="eastAsia" w:ascii="仿宋" w:hAnsi="仿宋" w:eastAsia="仿宋"/>
          <w:sz w:val="32"/>
          <w:szCs w:val="32"/>
        </w:rPr>
        <w:t>个</w:t>
      </w:r>
      <w:r>
        <w:rPr>
          <w:rFonts w:hint="eastAsia" w:ascii="仿宋" w:hAnsi="仿宋" w:eastAsia="仿宋"/>
          <w:sz w:val="32"/>
          <w:szCs w:val="32"/>
          <w:lang w:val="en-US" w:eastAsia="zh-CN"/>
        </w:rPr>
        <w:t>科室</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个二级预算单位。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西藏自治区公有房屋管理局</w:t>
      </w:r>
      <w:r>
        <w:rPr>
          <w:rFonts w:hint="eastAsia" w:ascii="方正小标宋简体" w:hAnsi="仿宋" w:eastAsia="方正小标宋简体"/>
          <w:sz w:val="32"/>
          <w:szCs w:val="32"/>
        </w:rPr>
        <w:t>2022年度预算明细表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西藏自治区公有房屋管理局</w:t>
      </w:r>
      <w:r>
        <w:rPr>
          <w:rFonts w:hint="eastAsia" w:ascii="方正小标宋简体" w:hAnsi="仿宋" w:eastAsia="方正小标宋简体"/>
          <w:sz w:val="32"/>
          <w:szCs w:val="32"/>
        </w:rPr>
        <w:t>2022年度部门预算数据分析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一、2022年部门收支总表的说明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2022年收支总预算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3054.38</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二、2022年度部门收入总表的说明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3082.54</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27.66</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0.9</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3054.88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99.1</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三、2022年部门支出总表的说明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2022年支出预算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3082.54</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675.78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21.92</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2406.26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78.08</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四、2022年财政拨款收支总表的说明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2022年财政拨款收支总预算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3082.54</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3054.88</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27.66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619.09</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56.69</w:t>
      </w:r>
      <w:r>
        <w:rPr>
          <w:rFonts w:hint="eastAsia" w:ascii="仿宋" w:hAnsi="仿宋" w:eastAsia="仿宋"/>
          <w:sz w:val="32"/>
          <w:szCs w:val="32"/>
          <w:u w:val="single"/>
        </w:rPr>
        <w:t xml:space="preserve">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五、2022年一般公共预算支出表的说明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2022年一般公共预算当年拨款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619.09</w:t>
      </w:r>
      <w:r>
        <w:rPr>
          <w:rFonts w:hint="eastAsia" w:ascii="仿宋" w:hAnsi="仿宋" w:eastAsia="仿宋"/>
          <w:sz w:val="32"/>
          <w:szCs w:val="32"/>
          <w:u w:val="single"/>
        </w:rPr>
        <w:t xml:space="preserve"> </w:t>
      </w:r>
      <w:r>
        <w:rPr>
          <w:rFonts w:hint="eastAsia" w:ascii="仿宋" w:hAnsi="仿宋" w:eastAsia="仿宋"/>
          <w:sz w:val="32"/>
          <w:szCs w:val="32"/>
        </w:rPr>
        <w:t>万元,比2021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28.31</w:t>
      </w:r>
      <w:r>
        <w:rPr>
          <w:rFonts w:hint="eastAsia" w:ascii="仿宋" w:hAnsi="仿宋" w:eastAsia="仿宋"/>
          <w:sz w:val="32"/>
          <w:szCs w:val="32"/>
        </w:rPr>
        <w:t>万元，主要原因：</w:t>
      </w:r>
      <w:r>
        <w:rPr>
          <w:rFonts w:hint="eastAsia" w:ascii="仿宋" w:hAnsi="仿宋" w:eastAsia="仿宋"/>
          <w:sz w:val="32"/>
          <w:szCs w:val="32"/>
          <w:lang w:eastAsia="zh-CN"/>
        </w:rPr>
        <w:t>我局严格控制基本预算，杜绝各种不必要的支出。</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rPr>
        <w:t xml:space="preserve">%；教育支出   </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w:t>
      </w:r>
      <w:r>
        <w:rPr>
          <w:rFonts w:hint="eastAsia" w:ascii="仿宋" w:hAnsi="仿宋" w:eastAsia="仿宋"/>
          <w:sz w:val="32"/>
          <w:szCs w:val="32"/>
          <w:lang w:val="en-US" w:eastAsia="zh-CN"/>
        </w:rPr>
        <w:t>-</w:t>
      </w:r>
      <w:r>
        <w:rPr>
          <w:rFonts w:hint="eastAsia" w:ascii="仿宋" w:hAnsi="仿宋" w:eastAsia="仿宋"/>
          <w:sz w:val="32"/>
          <w:szCs w:val="32"/>
        </w:rPr>
        <w:t> 社会保障和就业支出财政事务（款）</w:t>
      </w:r>
      <w:r>
        <w:rPr>
          <w:rFonts w:hint="eastAsia" w:ascii="仿宋" w:hAnsi="仿宋" w:eastAsia="仿宋"/>
          <w:sz w:val="32"/>
          <w:szCs w:val="32"/>
          <w:lang w:val="en-US" w:eastAsia="zh-CN"/>
        </w:rPr>
        <w:t>-</w:t>
      </w:r>
      <w:r>
        <w:rPr>
          <w:rFonts w:hint="eastAsia" w:ascii="仿宋" w:hAnsi="仿宋" w:eastAsia="仿宋"/>
          <w:sz w:val="32"/>
          <w:szCs w:val="32"/>
        </w:rPr>
        <w:t> 行政事业单位养老支出行政运行（项）</w:t>
      </w:r>
      <w:r>
        <w:rPr>
          <w:rFonts w:hint="eastAsia" w:ascii="仿宋" w:hAnsi="仿宋" w:eastAsia="仿宋"/>
          <w:sz w:val="32"/>
          <w:szCs w:val="32"/>
          <w:lang w:val="en-US" w:eastAsia="zh-CN"/>
        </w:rPr>
        <w:t>- 机关事业单位基本养老保险缴费支出</w:t>
      </w:r>
      <w:r>
        <w:rPr>
          <w:rFonts w:hint="eastAsia" w:ascii="仿宋" w:hAnsi="仿宋" w:eastAsia="仿宋"/>
          <w:sz w:val="32"/>
          <w:szCs w:val="32"/>
        </w:rPr>
        <w:t>2022年预算数为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67.37</w:t>
      </w:r>
      <w:r>
        <w:rPr>
          <w:rFonts w:hint="eastAsia" w:ascii="仿宋" w:hAnsi="仿宋" w:eastAsia="仿宋"/>
          <w:sz w:val="32"/>
          <w:szCs w:val="32"/>
          <w:u w:val="single"/>
        </w:rPr>
        <w:t xml:space="preserve"> </w:t>
      </w:r>
      <w:r>
        <w:rPr>
          <w:rFonts w:hint="eastAsia" w:ascii="仿宋" w:hAnsi="仿宋" w:eastAsia="仿宋"/>
          <w:sz w:val="32"/>
          <w:szCs w:val="32"/>
        </w:rPr>
        <w:t>万元，比2021年执行数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14.59</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27.64</w:t>
      </w:r>
      <w:r>
        <w:rPr>
          <w:rFonts w:hint="eastAsia" w:ascii="仿宋" w:hAnsi="仿宋" w:eastAsia="仿宋"/>
          <w:sz w:val="32"/>
          <w:szCs w:val="32"/>
          <w:u w:val="single"/>
        </w:rPr>
        <w:t xml:space="preserve"> </w:t>
      </w:r>
      <w:r>
        <w:rPr>
          <w:rFonts w:hint="eastAsia" w:ascii="仿宋" w:hAnsi="仿宋" w:eastAsia="仿宋"/>
          <w:sz w:val="32"/>
          <w:szCs w:val="32"/>
        </w:rPr>
        <w:t>%。主要是</w:t>
      </w:r>
      <w:r>
        <w:rPr>
          <w:rFonts w:hint="eastAsia" w:ascii="仿宋" w:hAnsi="仿宋" w:eastAsia="仿宋"/>
          <w:sz w:val="32"/>
          <w:szCs w:val="32"/>
          <w:lang w:eastAsia="zh-CN"/>
        </w:rPr>
        <w:t>本年新增遴选人员</w:t>
      </w:r>
      <w:r>
        <w:rPr>
          <w:rFonts w:hint="eastAsia" w:ascii="仿宋" w:hAnsi="仿宋" w:eastAsia="仿宋"/>
          <w:sz w:val="32"/>
          <w:szCs w:val="32"/>
          <w:lang w:val="en-US" w:eastAsia="zh-CN"/>
        </w:rPr>
        <w:t>3人，同时在职职工养老保险基数上调所致</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w:t>
      </w:r>
      <w:r>
        <w:rPr>
          <w:rFonts w:hint="eastAsia" w:ascii="仿宋" w:hAnsi="仿宋" w:eastAsia="仿宋"/>
          <w:sz w:val="32"/>
          <w:szCs w:val="32"/>
          <w:lang w:val="en-US" w:eastAsia="zh-CN"/>
        </w:rPr>
        <w:t>-卫生健康支出</w:t>
      </w:r>
      <w:r>
        <w:rPr>
          <w:rFonts w:hint="eastAsia" w:ascii="仿宋" w:hAnsi="仿宋" w:eastAsia="仿宋"/>
          <w:sz w:val="32"/>
          <w:szCs w:val="32"/>
        </w:rPr>
        <w:t>财政事务（款）</w:t>
      </w:r>
      <w:r>
        <w:rPr>
          <w:rFonts w:hint="eastAsia" w:ascii="仿宋" w:hAnsi="仿宋" w:eastAsia="仿宋"/>
          <w:sz w:val="32"/>
          <w:szCs w:val="32"/>
          <w:lang w:val="en-US" w:eastAsia="zh-CN"/>
        </w:rPr>
        <w:t>- 行政事业单位医疗</w:t>
      </w:r>
      <w:r>
        <w:rPr>
          <w:rFonts w:hint="eastAsia" w:ascii="仿宋" w:hAnsi="仿宋" w:eastAsia="仿宋"/>
          <w:sz w:val="32"/>
          <w:szCs w:val="32"/>
        </w:rPr>
        <w:t>（项）</w:t>
      </w:r>
      <w:r>
        <w:rPr>
          <w:rFonts w:hint="eastAsia" w:ascii="仿宋" w:hAnsi="仿宋" w:eastAsia="仿宋"/>
          <w:sz w:val="32"/>
          <w:szCs w:val="32"/>
          <w:lang w:val="en-US" w:eastAsia="zh-CN"/>
        </w:rPr>
        <w:t>-公务员医疗补助及行政单位医疗两项</w:t>
      </w:r>
      <w:r>
        <w:rPr>
          <w:rFonts w:hint="eastAsia" w:ascii="仿宋" w:hAnsi="仿宋" w:eastAsia="仿宋"/>
          <w:sz w:val="32"/>
          <w:szCs w:val="32"/>
        </w:rPr>
        <w:t>2022年预算数为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44.70</w:t>
      </w:r>
      <w:r>
        <w:rPr>
          <w:rFonts w:hint="eastAsia" w:ascii="仿宋" w:hAnsi="仿宋" w:eastAsia="仿宋"/>
          <w:sz w:val="32"/>
          <w:szCs w:val="32"/>
          <w:u w:val="single"/>
        </w:rPr>
        <w:t xml:space="preserve"> </w:t>
      </w:r>
      <w:r>
        <w:rPr>
          <w:rFonts w:hint="eastAsia" w:ascii="仿宋" w:hAnsi="仿宋" w:eastAsia="仿宋"/>
          <w:sz w:val="32"/>
          <w:szCs w:val="32"/>
        </w:rPr>
        <w:t>万元，比2021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9.67</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27.60</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本年新增遴选人员</w:t>
      </w:r>
      <w:r>
        <w:rPr>
          <w:rFonts w:hint="eastAsia" w:ascii="仿宋" w:hAnsi="仿宋" w:eastAsia="仿宋"/>
          <w:sz w:val="32"/>
          <w:szCs w:val="32"/>
          <w:lang w:val="en-US" w:eastAsia="zh-CN"/>
        </w:rPr>
        <w:t>3人，同时在职职工养老保险基数上调所致</w:t>
      </w:r>
      <w:r>
        <w:rPr>
          <w:rFonts w:hint="eastAsia" w:ascii="仿宋" w:hAnsi="仿宋" w:eastAsia="仿宋"/>
          <w:sz w:val="32"/>
          <w:szCs w:val="32"/>
        </w:rPr>
        <w:t>。</w:t>
      </w:r>
    </w:p>
    <w:p>
      <w:pPr>
        <w:rPr>
          <w:rFonts w:hint="eastAsia" w:ascii="仿宋" w:hAnsi="仿宋" w:eastAsia="仿宋"/>
          <w:sz w:val="32"/>
          <w:szCs w:val="32"/>
        </w:rPr>
      </w:pPr>
      <w:r>
        <w:rPr>
          <w:rFonts w:hint="eastAsia" w:ascii="仿宋" w:hAnsi="仿宋" w:eastAsia="仿宋"/>
          <w:sz w:val="32"/>
          <w:szCs w:val="32"/>
          <w:lang w:val="en-US" w:eastAsia="zh-CN"/>
        </w:rPr>
        <w:t xml:space="preserve">   3</w:t>
      </w:r>
      <w:r>
        <w:rPr>
          <w:rFonts w:hint="eastAsia" w:ascii="仿宋" w:hAnsi="仿宋" w:eastAsia="仿宋"/>
          <w:sz w:val="32"/>
          <w:szCs w:val="32"/>
        </w:rPr>
        <w:t>.一般公共服务支出（类）</w:t>
      </w:r>
      <w:r>
        <w:rPr>
          <w:rFonts w:hint="eastAsia" w:ascii="仿宋" w:hAnsi="仿宋" w:eastAsia="仿宋"/>
          <w:sz w:val="32"/>
          <w:szCs w:val="32"/>
          <w:lang w:val="en-US" w:eastAsia="zh-CN"/>
        </w:rPr>
        <w:t>-城乡社区支出</w:t>
      </w:r>
      <w:r>
        <w:rPr>
          <w:rFonts w:hint="eastAsia" w:ascii="仿宋" w:hAnsi="仿宋" w:eastAsia="仿宋"/>
          <w:sz w:val="32"/>
          <w:szCs w:val="32"/>
        </w:rPr>
        <w:t>（款）</w:t>
      </w:r>
      <w:r>
        <w:rPr>
          <w:rFonts w:hint="eastAsia" w:ascii="仿宋" w:hAnsi="仿宋" w:eastAsia="仿宋"/>
          <w:sz w:val="32"/>
          <w:szCs w:val="32"/>
          <w:lang w:val="en-US" w:eastAsia="zh-CN"/>
        </w:rPr>
        <w:t>- 行 城乡社区管理事务</w:t>
      </w:r>
      <w:r>
        <w:rPr>
          <w:rFonts w:hint="eastAsia" w:ascii="仿宋" w:hAnsi="仿宋" w:eastAsia="仿宋"/>
          <w:sz w:val="32"/>
          <w:szCs w:val="32"/>
        </w:rPr>
        <w:t>（项）</w:t>
      </w:r>
      <w:r>
        <w:rPr>
          <w:rFonts w:hint="eastAsia" w:ascii="仿宋" w:hAnsi="仿宋" w:eastAsia="仿宋"/>
          <w:sz w:val="32"/>
          <w:szCs w:val="32"/>
          <w:lang w:val="en-US" w:eastAsia="zh-CN"/>
        </w:rPr>
        <w:t>-行政运行及 一般行政管理事务两项</w:t>
      </w:r>
      <w:r>
        <w:rPr>
          <w:rFonts w:hint="eastAsia" w:ascii="仿宋" w:hAnsi="仿宋" w:eastAsia="仿宋"/>
          <w:sz w:val="32"/>
          <w:szCs w:val="32"/>
        </w:rPr>
        <w:t>2022年预算数为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2885.62</w:t>
      </w:r>
      <w:r>
        <w:rPr>
          <w:rFonts w:hint="eastAsia" w:ascii="仿宋" w:hAnsi="仿宋" w:eastAsia="仿宋"/>
          <w:sz w:val="32"/>
          <w:szCs w:val="32"/>
        </w:rPr>
        <w:t>万元，比2021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2282.71</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378.62</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本年新增新增项目</w:t>
      </w:r>
      <w:r>
        <w:rPr>
          <w:rFonts w:hint="eastAsia" w:ascii="仿宋" w:hAnsi="仿宋" w:eastAsia="仿宋"/>
          <w:sz w:val="32"/>
          <w:szCs w:val="32"/>
          <w:lang w:val="en-US" w:eastAsia="zh-CN"/>
        </w:rPr>
        <w:t>2378.60万元所致</w:t>
      </w:r>
      <w:r>
        <w:rPr>
          <w:rFonts w:hint="eastAsia" w:ascii="仿宋" w:hAnsi="仿宋" w:eastAsia="仿宋"/>
          <w:sz w:val="32"/>
          <w:szCs w:val="32"/>
        </w:rPr>
        <w:t>。</w:t>
      </w:r>
    </w:p>
    <w:p>
      <w:pPr>
        <w:rPr>
          <w:rFonts w:hint="eastAsia" w:ascii="仿宋" w:hAnsi="仿宋" w:eastAsia="仿宋"/>
          <w:sz w:val="32"/>
          <w:szCs w:val="32"/>
        </w:rPr>
      </w:pPr>
      <w:r>
        <w:rPr>
          <w:rFonts w:hint="eastAsia" w:ascii="仿宋" w:hAnsi="仿宋" w:eastAsia="仿宋"/>
          <w:sz w:val="32"/>
          <w:szCs w:val="32"/>
          <w:lang w:val="en-US" w:eastAsia="zh-CN"/>
        </w:rPr>
        <w:t xml:space="preserve">   4</w:t>
      </w:r>
      <w:r>
        <w:rPr>
          <w:rFonts w:hint="eastAsia" w:ascii="仿宋" w:hAnsi="仿宋" w:eastAsia="仿宋"/>
          <w:sz w:val="32"/>
          <w:szCs w:val="32"/>
        </w:rPr>
        <w:t>.一般公共服务支出（类）</w:t>
      </w:r>
      <w:r>
        <w:rPr>
          <w:rFonts w:hint="eastAsia" w:ascii="仿宋" w:hAnsi="仿宋" w:eastAsia="仿宋"/>
          <w:sz w:val="32"/>
          <w:szCs w:val="32"/>
          <w:lang w:val="en-US" w:eastAsia="zh-CN"/>
        </w:rPr>
        <w:t>-住房保障支出</w:t>
      </w:r>
      <w:r>
        <w:rPr>
          <w:rFonts w:hint="eastAsia" w:ascii="仿宋" w:hAnsi="仿宋" w:eastAsia="仿宋"/>
          <w:sz w:val="32"/>
          <w:szCs w:val="32"/>
        </w:rPr>
        <w:t>（款）</w:t>
      </w:r>
      <w:r>
        <w:rPr>
          <w:rFonts w:hint="eastAsia" w:ascii="仿宋" w:hAnsi="仿宋" w:eastAsia="仿宋"/>
          <w:sz w:val="32"/>
          <w:szCs w:val="32"/>
          <w:lang w:val="en-US" w:eastAsia="zh-CN"/>
        </w:rPr>
        <w:t>-  住房改革支出</w:t>
      </w:r>
      <w:r>
        <w:rPr>
          <w:rFonts w:hint="eastAsia" w:ascii="仿宋" w:hAnsi="仿宋" w:eastAsia="仿宋"/>
          <w:sz w:val="32"/>
          <w:szCs w:val="32"/>
        </w:rPr>
        <w:t>（项）</w:t>
      </w:r>
      <w:r>
        <w:rPr>
          <w:rFonts w:hint="eastAsia" w:ascii="仿宋" w:hAnsi="仿宋" w:eastAsia="仿宋"/>
          <w:sz w:val="32"/>
          <w:szCs w:val="32"/>
          <w:lang w:val="en-US" w:eastAsia="zh-CN"/>
        </w:rPr>
        <w:t>- 住房公积金</w:t>
      </w:r>
      <w:r>
        <w:rPr>
          <w:rFonts w:hint="eastAsia" w:ascii="仿宋" w:hAnsi="仿宋" w:eastAsia="仿宋"/>
          <w:sz w:val="32"/>
          <w:szCs w:val="32"/>
        </w:rPr>
        <w:t>2022年预算数为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56.69</w:t>
      </w:r>
      <w:r>
        <w:rPr>
          <w:rFonts w:hint="eastAsia" w:ascii="仿宋" w:hAnsi="仿宋" w:eastAsia="仿宋"/>
          <w:sz w:val="32"/>
          <w:szCs w:val="32"/>
          <w:u w:val="single"/>
        </w:rPr>
        <w:t xml:space="preserve"> </w:t>
      </w:r>
      <w:r>
        <w:rPr>
          <w:rFonts w:hint="eastAsia" w:ascii="仿宋" w:hAnsi="仿宋" w:eastAsia="仿宋"/>
          <w:sz w:val="32"/>
          <w:szCs w:val="32"/>
        </w:rPr>
        <w:t>万元，比2021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13.5</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31.26</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eastAsia="zh-CN"/>
        </w:rPr>
        <w:t>本年新增遴选人员</w:t>
      </w:r>
      <w:r>
        <w:rPr>
          <w:rFonts w:hint="eastAsia" w:ascii="仿宋" w:hAnsi="仿宋" w:eastAsia="仿宋"/>
          <w:sz w:val="32"/>
          <w:szCs w:val="32"/>
          <w:lang w:val="en-US" w:eastAsia="zh-CN"/>
        </w:rPr>
        <w:t>3人，同时在职职工养老保险基数上调所致</w:t>
      </w:r>
      <w:r>
        <w:rPr>
          <w:rFonts w:hint="eastAsia" w:ascii="仿宋" w:hAnsi="仿宋" w:eastAsia="仿宋"/>
          <w:sz w:val="32"/>
          <w:szCs w:val="32"/>
        </w:rPr>
        <w:t>。</w:t>
      </w: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六、2022年一般公共预算基本支出表的说明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2022年一般公共预算基本支出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619.09</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622.13</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53.65</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七、2022年度一般公共预算“三公”经费预算情况说明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2022年“三公”经费预算数为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rPr>
        <w:t>万元。2022年“三公”经费预算比2021年减少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万元，压缩</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22.22</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在预算范围内控制车辆油耗及维修费</w:t>
      </w:r>
      <w:r>
        <w:rPr>
          <w:rFonts w:hint="eastAsia" w:ascii="仿宋" w:hAnsi="仿宋" w:eastAsia="仿宋"/>
          <w:sz w:val="32"/>
          <w:szCs w:val="32"/>
          <w:u w:val="single"/>
        </w:rPr>
        <w:t>。</w:t>
      </w:r>
    </w:p>
    <w:p>
      <w:pPr>
        <w:rPr>
          <w:rFonts w:ascii="黑体" w:hAnsi="黑体" w:eastAsia="黑体"/>
          <w:sz w:val="32"/>
          <w:szCs w:val="32"/>
        </w:rPr>
      </w:pPr>
      <w:r>
        <w:rPr>
          <w:rFonts w:hint="eastAsia" w:ascii="黑体" w:hAnsi="黑体" w:eastAsia="黑体"/>
          <w:sz w:val="32"/>
          <w:szCs w:val="32"/>
        </w:rPr>
        <w:t>八、2022年度政府性基金预算支出情况说明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我部门2022年度没有使用政府性基金安排的支出。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2022</w:t>
      </w:r>
      <w:r>
        <w:rPr>
          <w:rFonts w:hint="eastAsia" w:ascii="仿宋" w:hAnsi="仿宋" w:eastAsia="仿宋"/>
          <w:sz w:val="32"/>
          <w:szCs w:val="32"/>
        </w:rPr>
        <w:t>年部门本级……局等</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3082.54</w:t>
      </w:r>
      <w:r>
        <w:rPr>
          <w:rFonts w:hint="eastAsia" w:ascii="仿宋" w:hAnsi="仿宋" w:eastAsia="仿宋"/>
          <w:sz w:val="32"/>
          <w:szCs w:val="32"/>
        </w:rPr>
        <w:t>万元，比</w:t>
      </w:r>
      <w:r>
        <w:rPr>
          <w:rFonts w:ascii="仿宋" w:hAnsi="仿宋" w:eastAsia="仿宋"/>
          <w:sz w:val="32"/>
          <w:szCs w:val="32"/>
        </w:rPr>
        <w:t>2021</w:t>
      </w:r>
      <w:r>
        <w:rPr>
          <w:rFonts w:hint="eastAsia" w:ascii="仿宋" w:hAnsi="仿宋" w:eastAsia="仿宋"/>
          <w:sz w:val="32"/>
          <w:szCs w:val="32"/>
        </w:rPr>
        <w:t>年预算增加</w:t>
      </w:r>
      <w:r>
        <w:rPr>
          <w:rFonts w:hint="eastAsia" w:ascii="仿宋" w:hAnsi="仿宋" w:eastAsia="仿宋"/>
          <w:sz w:val="32"/>
          <w:szCs w:val="32"/>
          <w:u w:val="single"/>
          <w:lang w:val="en-US" w:eastAsia="zh-CN"/>
        </w:rPr>
        <w:t>2195.33</w:t>
      </w:r>
      <w:r>
        <w:rPr>
          <w:rFonts w:hint="eastAsia" w:ascii="仿宋" w:hAnsi="仿宋" w:eastAsia="仿宋"/>
          <w:sz w:val="32"/>
          <w:szCs w:val="32"/>
        </w:rPr>
        <w:t>万元，增长</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247.44</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新增全区79个党政机关办公用房不动产权属统一登记，预算金额</w:t>
      </w:r>
      <w:r>
        <w:rPr>
          <w:rFonts w:hint="eastAsia" w:ascii="仿宋_GB2312" w:eastAsia="仿宋_GB2312" w:cs="仿宋_GB2312" w:hAnsiTheme="minorHAnsi"/>
          <w:kern w:val="0"/>
          <w:sz w:val="32"/>
          <w:szCs w:val="32"/>
          <w:u w:val="single"/>
          <w:lang w:val="en-US" w:eastAsia="zh-CN"/>
        </w:rPr>
        <w:t>1766万元；新增周转房维修改造，预算金额556.62万元；新增区直周转房应急维修资金，预算金额50万元</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2022</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2322.62万元</w:t>
      </w:r>
      <w:r>
        <w:rPr>
          <w:rFonts w:hint="eastAsia" w:ascii="仿宋" w:hAnsi="仿宋" w:eastAsia="仿宋"/>
          <w:sz w:val="32"/>
          <w:szCs w:val="32"/>
        </w:rPr>
        <w:t>，其中：政府采购货物预算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556.62</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1766</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2022</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w:t>
      </w:r>
      <w:r>
        <w:rPr>
          <w:rFonts w:hint="eastAsia" w:ascii="仿宋" w:hAnsi="仿宋" w:eastAsia="仿宋"/>
          <w:sz w:val="32"/>
          <w:szCs w:val="32"/>
          <w:u w:val="single"/>
          <w:lang w:val="en-US" w:eastAsia="zh-CN"/>
        </w:rPr>
        <w:t>2</w:t>
      </w:r>
      <w:r>
        <w:rPr>
          <w:rFonts w:hint="eastAsia" w:ascii="仿宋" w:hAnsi="仿宋" w:eastAsia="仿宋"/>
          <w:sz w:val="32"/>
          <w:szCs w:val="32"/>
          <w:lang w:val="en-US" w:eastAsia="zh-CN"/>
        </w:rPr>
        <w:t>辆</w:t>
      </w:r>
      <w:r>
        <w:rPr>
          <w:rFonts w:hint="eastAsia" w:ascii="仿宋" w:hAnsi="仿宋" w:eastAsia="仿宋"/>
          <w:sz w:val="32"/>
          <w:szCs w:val="32"/>
        </w:rPr>
        <w:t>，其他用车主要是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日常办公</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2022</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（四）2022年预算绩效目标管理情况。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2022年实现财政支出绩效目标管理全覆盖，实行绩效目标管理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2322.62</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2322.62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全区79个党政机关办公用房不动产权属统一登记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1766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74.28</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numId w:val="0"/>
        </w:numPr>
        <w:rPr>
          <w:rFonts w:hint="eastAsia" w:ascii="楷体" w:hAnsi="楷体" w:eastAsia="楷体"/>
          <w:sz w:val="32"/>
          <w:szCs w:val="32"/>
          <w:lang w:eastAsia="zh-CN"/>
        </w:rPr>
      </w:pPr>
      <w:r>
        <w:rPr>
          <w:rFonts w:hint="eastAsia" w:ascii="楷体" w:hAnsi="楷体" w:eastAsia="楷体"/>
          <w:sz w:val="32"/>
          <w:szCs w:val="32"/>
          <w:lang w:val="en-US" w:eastAsia="zh-CN"/>
        </w:rPr>
        <w:t xml:space="preserve">    </w:t>
      </w:r>
      <w:r>
        <w:rPr>
          <w:rFonts w:hint="eastAsia" w:ascii="楷体" w:hAnsi="楷体" w:eastAsia="楷体"/>
          <w:sz w:val="32"/>
          <w:szCs w:val="32"/>
          <w:lang w:eastAsia="zh-CN"/>
        </w:rPr>
        <w:t>本单位不涉及扶贫资金管理使用情况。</w:t>
      </w:r>
    </w:p>
    <w:p>
      <w:pPr>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rPr>
          <w:rFonts w:ascii="仿宋" w:hAnsi="仿宋" w:eastAsia="仿宋"/>
          <w:sz w:val="32"/>
          <w:szCs w:val="32"/>
        </w:rPr>
      </w:pPr>
      <w:r>
        <w:rPr>
          <w:rFonts w:hint="eastAsia" w:ascii="仿宋" w:hAnsi="仿宋" w:eastAsia="仿宋"/>
          <w:sz w:val="32"/>
          <w:szCs w:val="32"/>
          <w:lang w:val="en-US" w:eastAsia="zh-CN"/>
        </w:rPr>
        <w:t xml:space="preserve">    本单位不涉及政府债务资金。</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0000000000000000000"/>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3100919">
    <w:nsid w:val="61EFBAF7"/>
    <w:multiLevelType w:val="singleLevel"/>
    <w:tmpl w:val="61EFBAF7"/>
    <w:lvl w:ilvl="0" w:tentative="1">
      <w:start w:val="5"/>
      <w:numFmt w:val="chineseCounting"/>
      <w:suff w:val="nothing"/>
      <w:lvlText w:val="（%1）"/>
      <w:lvlJc w:val="left"/>
    </w:lvl>
  </w:abstractNum>
  <w:num w:numId="1">
    <w:abstractNumId w:val="16431009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18051FC2"/>
    <w:rsid w:val="24285C54"/>
    <w:rsid w:val="2DB07DC3"/>
    <w:rsid w:val="31672A87"/>
    <w:rsid w:val="53DD00C9"/>
    <w:rsid w:val="57BF5AC2"/>
    <w:rsid w:val="58BF6626"/>
    <w:rsid w:val="59025D4E"/>
    <w:rsid w:val="60A26AD0"/>
    <w:rsid w:val="663159E1"/>
    <w:rsid w:val="6B6F638E"/>
    <w:rsid w:val="755F6C7D"/>
    <w:rsid w:val="75C764B1"/>
    <w:rsid w:val="76D125D9"/>
    <w:rsid w:val="77B34493"/>
    <w:rsid w:val="7EFD1C3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ScaleCrop>false</ScaleCrop>
  <LinksUpToDate>false</LinksUpToDate>
  <CharactersWithSpaces>3930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gfj</cp:lastModifiedBy>
  <cp:lastPrinted>2021-01-27T11:28:00Z</cp:lastPrinted>
  <dcterms:modified xsi:type="dcterms:W3CDTF">2022-01-25T08:55:06Z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