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line="360" w:lineRule="auto"/>
        <w:ind w:firstLine="0" w:firstLineChars="0"/>
        <w:jc w:val="center"/>
        <w:rPr>
          <w:rFonts w:hint="eastAsia" w:asciiTheme="majorEastAsia" w:hAnsiTheme="majorEastAsia" w:eastAsiaTheme="majorEastAsia" w:cstheme="majorEastAsia"/>
          <w:b/>
          <w:bCs/>
          <w:sz w:val="52"/>
          <w:szCs w:val="52"/>
          <w:lang w:val="en-US" w:eastAsia="zh-CN"/>
        </w:rPr>
      </w:pPr>
      <w:r>
        <w:rPr>
          <w:rFonts w:hint="eastAsia" w:asciiTheme="majorEastAsia" w:hAnsiTheme="majorEastAsia" w:eastAsiaTheme="majorEastAsia" w:cstheme="majorEastAsia"/>
          <w:b/>
          <w:bCs/>
          <w:sz w:val="52"/>
          <w:szCs w:val="52"/>
          <w:lang w:eastAsia="zh-CN"/>
        </w:rPr>
        <w:t>西藏自治区住房和城乡建设厅厅机关</w:t>
      </w:r>
      <w:r>
        <w:rPr>
          <w:rFonts w:hint="eastAsia" w:asciiTheme="majorEastAsia" w:hAnsiTheme="majorEastAsia" w:eastAsiaTheme="majorEastAsia" w:cstheme="majorEastAsia"/>
          <w:b/>
          <w:bCs/>
          <w:sz w:val="52"/>
          <w:szCs w:val="52"/>
          <w:lang w:val="en-US" w:eastAsia="zh-CN"/>
        </w:rPr>
        <w:t>公务车辆定点维修</w:t>
      </w:r>
    </w:p>
    <w:p>
      <w:pPr>
        <w:pStyle w:val="4"/>
        <w:pageBreakBefore w:val="0"/>
        <w:widowControl/>
        <w:kinsoku w:val="0"/>
        <w:wordWrap/>
        <w:overflowPunct/>
        <w:topLinePunct w:val="0"/>
        <w:autoSpaceDE w:val="0"/>
        <w:autoSpaceDN w:val="0"/>
        <w:bidi w:val="0"/>
        <w:adjustRightInd w:val="0"/>
        <w:snapToGrid w:val="0"/>
        <w:spacing w:line="576" w:lineRule="exact"/>
        <w:jc w:val="left"/>
        <w:textAlignment w:val="baseline"/>
        <w:outlineLvl w:val="9"/>
      </w:pPr>
    </w:p>
    <w:p>
      <w:pPr>
        <w:pStyle w:val="4"/>
        <w:pageBreakBefore w:val="0"/>
        <w:widowControl/>
        <w:kinsoku w:val="0"/>
        <w:wordWrap/>
        <w:overflowPunct/>
        <w:topLinePunct w:val="0"/>
        <w:autoSpaceDE w:val="0"/>
        <w:autoSpaceDN w:val="0"/>
        <w:bidi w:val="0"/>
        <w:adjustRightInd w:val="0"/>
        <w:snapToGrid w:val="0"/>
        <w:spacing w:line="576" w:lineRule="exact"/>
        <w:jc w:val="left"/>
        <w:textAlignment w:val="baseline"/>
        <w:outlineLvl w:val="9"/>
      </w:pPr>
    </w:p>
    <w:p>
      <w:pPr>
        <w:pStyle w:val="4"/>
        <w:pageBreakBefore w:val="0"/>
        <w:widowControl/>
        <w:kinsoku w:val="0"/>
        <w:wordWrap/>
        <w:overflowPunct/>
        <w:topLinePunct w:val="0"/>
        <w:autoSpaceDE w:val="0"/>
        <w:autoSpaceDN w:val="0"/>
        <w:bidi w:val="0"/>
        <w:adjustRightInd w:val="0"/>
        <w:snapToGrid w:val="0"/>
        <w:spacing w:line="576" w:lineRule="exact"/>
        <w:jc w:val="left"/>
        <w:textAlignment w:val="baseline"/>
        <w:outlineLvl w:val="9"/>
      </w:pPr>
    </w:p>
    <w:p>
      <w:pPr>
        <w:pStyle w:val="4"/>
        <w:pageBreakBefore w:val="0"/>
        <w:widowControl/>
        <w:kinsoku w:val="0"/>
        <w:wordWrap/>
        <w:overflowPunct/>
        <w:topLinePunct w:val="0"/>
        <w:autoSpaceDE w:val="0"/>
        <w:autoSpaceDN w:val="0"/>
        <w:bidi w:val="0"/>
        <w:adjustRightInd w:val="0"/>
        <w:snapToGrid w:val="0"/>
        <w:spacing w:line="576" w:lineRule="exact"/>
        <w:ind w:left="640" w:leftChars="200"/>
        <w:jc w:val="left"/>
        <w:textAlignment w:val="baseline"/>
        <w:outlineLvl w:val="9"/>
      </w:pPr>
    </w:p>
    <w:p>
      <w:pPr>
        <w:pageBreakBefore w:val="0"/>
        <w:widowControl/>
        <w:kinsoku w:val="0"/>
        <w:wordWrap/>
        <w:overflowPunct/>
        <w:topLinePunct w:val="0"/>
        <w:autoSpaceDE w:val="0"/>
        <w:autoSpaceDN w:val="0"/>
        <w:bidi w:val="0"/>
        <w:adjustRightInd w:val="0"/>
        <w:snapToGrid w:val="0"/>
        <w:spacing w:before="156" w:line="576" w:lineRule="exact"/>
        <w:ind w:left="0" w:leftChars="0" w:firstLine="0" w:firstLineChars="0"/>
        <w:jc w:val="center"/>
        <w:textAlignment w:val="baseline"/>
        <w:outlineLvl w:val="9"/>
        <w:rPr>
          <w:rFonts w:hint="eastAsia" w:asciiTheme="minorEastAsia" w:hAnsiTheme="minorEastAsia" w:eastAsiaTheme="minorEastAsia" w:cstheme="minorEastAsia"/>
          <w:sz w:val="48"/>
          <w:szCs w:val="48"/>
        </w:rPr>
      </w:pPr>
      <w:bookmarkStart w:id="0" w:name="_Toc24834"/>
      <w:r>
        <w:rPr>
          <w:rFonts w:hint="eastAsia" w:asciiTheme="minorEastAsia" w:hAnsiTheme="minorEastAsia" w:eastAsiaTheme="minorEastAsia" w:cstheme="minorEastAsia"/>
          <w:b/>
          <w:bCs/>
          <w:spacing w:val="-8"/>
          <w:sz w:val="48"/>
          <w:szCs w:val="48"/>
        </w:rPr>
        <w:t>封闭式框架协议采购</w:t>
      </w:r>
      <w:bookmarkEnd w:id="0"/>
    </w:p>
    <w:p>
      <w:pPr>
        <w:pStyle w:val="4"/>
        <w:pageBreakBefore w:val="0"/>
        <w:widowControl/>
        <w:kinsoku w:val="0"/>
        <w:wordWrap/>
        <w:overflowPunct/>
        <w:topLinePunct w:val="0"/>
        <w:autoSpaceDE w:val="0"/>
        <w:autoSpaceDN w:val="0"/>
        <w:bidi w:val="0"/>
        <w:adjustRightInd w:val="0"/>
        <w:snapToGrid w:val="0"/>
        <w:spacing w:line="576" w:lineRule="exact"/>
        <w:ind w:left="0" w:leftChars="0" w:firstLine="0" w:firstLineChars="0"/>
        <w:jc w:val="both"/>
        <w:textAlignment w:val="baseline"/>
        <w:outlineLvl w:val="9"/>
        <w:rPr>
          <w:rFonts w:hint="eastAsia" w:asciiTheme="minorEastAsia" w:hAnsiTheme="minorEastAsia" w:eastAsiaTheme="minorEastAsia" w:cstheme="minorEastAsia"/>
        </w:rPr>
      </w:pPr>
    </w:p>
    <w:p>
      <w:pPr>
        <w:pageBreakBefore w:val="0"/>
        <w:widowControl/>
        <w:kinsoku w:val="0"/>
        <w:wordWrap/>
        <w:overflowPunct/>
        <w:topLinePunct w:val="0"/>
        <w:autoSpaceDE w:val="0"/>
        <w:autoSpaceDN w:val="0"/>
        <w:bidi w:val="0"/>
        <w:adjustRightInd w:val="0"/>
        <w:snapToGrid w:val="0"/>
        <w:spacing w:before="156" w:line="576" w:lineRule="exact"/>
        <w:ind w:left="0" w:leftChars="0" w:firstLine="0" w:firstLineChars="0"/>
        <w:jc w:val="center"/>
        <w:textAlignment w:val="baseline"/>
        <w:outlineLvl w:val="9"/>
        <w:rPr>
          <w:rFonts w:hint="eastAsia" w:asciiTheme="minorEastAsia" w:hAnsiTheme="minorEastAsia" w:eastAsiaTheme="minorEastAsia" w:cstheme="minorEastAsia"/>
          <w:sz w:val="48"/>
          <w:szCs w:val="48"/>
        </w:rPr>
      </w:pPr>
      <w:r>
        <w:rPr>
          <w:rFonts w:hint="eastAsia" w:asciiTheme="minorEastAsia" w:hAnsiTheme="minorEastAsia" w:eastAsiaTheme="minorEastAsia" w:cstheme="minorEastAsia"/>
          <w:b/>
          <w:bCs/>
          <w:spacing w:val="-10"/>
          <w:sz w:val="48"/>
          <w:szCs w:val="48"/>
        </w:rPr>
        <w:t>征集文件</w:t>
      </w:r>
    </w:p>
    <w:p>
      <w:pPr>
        <w:pStyle w:val="4"/>
        <w:pageBreakBefore w:val="0"/>
        <w:widowControl/>
        <w:kinsoku w:val="0"/>
        <w:wordWrap/>
        <w:overflowPunct/>
        <w:topLinePunct w:val="0"/>
        <w:autoSpaceDE w:val="0"/>
        <w:autoSpaceDN w:val="0"/>
        <w:bidi w:val="0"/>
        <w:adjustRightInd w:val="0"/>
        <w:snapToGrid w:val="0"/>
        <w:spacing w:line="576" w:lineRule="exact"/>
        <w:ind w:left="640" w:leftChars="200"/>
        <w:jc w:val="center"/>
        <w:textAlignment w:val="baseline"/>
        <w:outlineLvl w:val="9"/>
      </w:pPr>
    </w:p>
    <w:p>
      <w:pPr>
        <w:pStyle w:val="4"/>
        <w:pageBreakBefore w:val="0"/>
        <w:widowControl/>
        <w:kinsoku w:val="0"/>
        <w:wordWrap/>
        <w:overflowPunct/>
        <w:topLinePunct w:val="0"/>
        <w:autoSpaceDE w:val="0"/>
        <w:autoSpaceDN w:val="0"/>
        <w:bidi w:val="0"/>
        <w:adjustRightInd w:val="0"/>
        <w:snapToGrid w:val="0"/>
        <w:spacing w:line="576" w:lineRule="exact"/>
        <w:ind w:left="640" w:leftChars="200"/>
        <w:jc w:val="center"/>
        <w:textAlignment w:val="baseline"/>
        <w:outlineLvl w:val="9"/>
      </w:pPr>
    </w:p>
    <w:p>
      <w:pPr>
        <w:pStyle w:val="2"/>
        <w:pageBreakBefore w:val="0"/>
        <w:widowControl/>
        <w:kinsoku w:val="0"/>
        <w:wordWrap/>
        <w:overflowPunct/>
        <w:topLinePunct w:val="0"/>
        <w:autoSpaceDE w:val="0"/>
        <w:autoSpaceDN w:val="0"/>
        <w:bidi w:val="0"/>
        <w:adjustRightInd w:val="0"/>
        <w:snapToGrid w:val="0"/>
        <w:spacing w:line="576" w:lineRule="exact"/>
        <w:jc w:val="both"/>
        <w:textAlignment w:val="baseline"/>
      </w:pPr>
    </w:p>
    <w:p/>
    <w:p>
      <w:pPr>
        <w:pStyle w:val="2"/>
      </w:pPr>
    </w:p>
    <w:p>
      <w:pPr>
        <w:pageBreakBefore w:val="0"/>
        <w:widowControl/>
        <w:kinsoku w:val="0"/>
        <w:wordWrap/>
        <w:overflowPunct/>
        <w:topLinePunct w:val="0"/>
        <w:autoSpaceDE w:val="0"/>
        <w:autoSpaceDN w:val="0"/>
        <w:bidi w:val="0"/>
        <w:adjustRightInd w:val="0"/>
        <w:snapToGrid w:val="0"/>
        <w:spacing w:before="117" w:line="576" w:lineRule="exact"/>
        <w:jc w:val="left"/>
        <w:textAlignment w:val="baseline"/>
        <w:outlineLvl w:val="9"/>
        <w:rPr>
          <w:rFonts w:ascii="仿宋" w:hAnsi="仿宋" w:eastAsia="仿宋" w:cs="仿宋"/>
          <w:spacing w:val="-3"/>
          <w:sz w:val="36"/>
          <w:szCs w:val="36"/>
        </w:rPr>
      </w:pPr>
    </w:p>
    <w:p>
      <w:pPr>
        <w:bidi w:val="0"/>
        <w:ind w:left="0" w:leftChars="0" w:firstLine="0" w:firstLineChars="0"/>
        <w:rPr>
          <w:b/>
          <w:bCs/>
          <w:sz w:val="40"/>
          <w:szCs w:val="24"/>
        </w:rPr>
      </w:pPr>
      <w:r>
        <w:rPr>
          <w:b/>
          <w:bCs/>
          <w:sz w:val="40"/>
          <w:szCs w:val="24"/>
        </w:rPr>
        <w:t>征集人：</w:t>
      </w:r>
      <w:r>
        <w:rPr>
          <w:rFonts w:hint="eastAsia"/>
          <w:b/>
          <w:bCs/>
          <w:sz w:val="40"/>
          <w:szCs w:val="24"/>
        </w:rPr>
        <w:t>西藏自治区住房和城乡建设厅</w:t>
      </w:r>
    </w:p>
    <w:p>
      <w:pPr>
        <w:bidi w:val="0"/>
        <w:ind w:left="0" w:leftChars="0" w:firstLine="0" w:firstLineChars="0"/>
        <w:rPr>
          <w:b/>
          <w:bCs/>
          <w:sz w:val="40"/>
          <w:szCs w:val="24"/>
        </w:rPr>
      </w:pPr>
      <w:bookmarkStart w:id="1" w:name="_Toc24757"/>
      <w:r>
        <w:rPr>
          <w:rFonts w:hint="eastAsia"/>
          <w:b/>
          <w:bCs/>
          <w:sz w:val="40"/>
          <w:szCs w:val="24"/>
          <w:lang w:val="en-US" w:eastAsia="zh-CN"/>
        </w:rPr>
        <w:t>日  期：</w:t>
      </w:r>
      <w:r>
        <w:rPr>
          <w:rFonts w:hint="eastAsia"/>
          <w:b/>
          <w:bCs/>
          <w:sz w:val="40"/>
          <w:szCs w:val="24"/>
        </w:rPr>
        <w:t>二</w:t>
      </w:r>
      <w:r>
        <w:rPr>
          <w:rFonts w:hint="eastAsia"/>
          <w:b/>
          <w:bCs/>
          <w:sz w:val="40"/>
          <w:szCs w:val="24"/>
          <w:lang w:eastAsia="zh-CN"/>
        </w:rPr>
        <w:t>零</w:t>
      </w:r>
      <w:r>
        <w:rPr>
          <w:rFonts w:hint="eastAsia"/>
          <w:b/>
          <w:bCs/>
          <w:sz w:val="40"/>
          <w:szCs w:val="24"/>
        </w:rPr>
        <w:t>二</w:t>
      </w:r>
      <w:r>
        <w:rPr>
          <w:rFonts w:hint="eastAsia"/>
          <w:b/>
          <w:bCs/>
          <w:sz w:val="40"/>
          <w:szCs w:val="24"/>
          <w:lang w:val="en-US" w:eastAsia="zh-CN"/>
        </w:rPr>
        <w:t>六年四</w:t>
      </w:r>
      <w:r>
        <w:rPr>
          <w:rFonts w:hint="eastAsia"/>
          <w:b/>
          <w:bCs/>
          <w:sz w:val="40"/>
          <w:szCs w:val="24"/>
        </w:rPr>
        <w:t>月</w:t>
      </w:r>
      <w:bookmarkEnd w:id="1"/>
    </w:p>
    <w:p>
      <w:pPr>
        <w:pageBreakBefore w:val="0"/>
        <w:widowControl/>
        <w:kinsoku w:val="0"/>
        <w:wordWrap/>
        <w:overflowPunct/>
        <w:topLinePunct w:val="0"/>
        <w:autoSpaceDE w:val="0"/>
        <w:autoSpaceDN w:val="0"/>
        <w:bidi w:val="0"/>
        <w:adjustRightInd w:val="0"/>
        <w:snapToGrid w:val="0"/>
        <w:spacing w:line="576" w:lineRule="exact"/>
        <w:textAlignment w:val="baseline"/>
        <w:rPr>
          <w:rFonts w:ascii="仿宋" w:hAnsi="仿宋" w:eastAsia="仿宋" w:cs="仿宋"/>
          <w:sz w:val="36"/>
          <w:szCs w:val="36"/>
        </w:rPr>
        <w:sectPr>
          <w:footerReference r:id="rId5" w:type="default"/>
          <w:pgSz w:w="11912" w:h="16841"/>
          <w:pgMar w:top="2098" w:right="1474" w:bottom="2098" w:left="1587" w:header="850" w:footer="1417" w:gutter="0"/>
          <w:pgBorders>
            <w:top w:val="none" w:sz="0" w:space="0"/>
            <w:left w:val="none" w:sz="0" w:space="0"/>
            <w:bottom w:val="none" w:sz="0" w:space="0"/>
            <w:right w:val="none" w:sz="0" w:space="0"/>
          </w:pgBorders>
          <w:pgNumType w:fmt="decimal" w:start="0"/>
          <w:cols w:space="0" w:num="1"/>
          <w:rtlGutter w:val="0"/>
          <w:docGrid w:linePitch="0" w:charSpace="0"/>
        </w:sectPr>
      </w:pPr>
      <w:r>
        <w:rPr>
          <w:rFonts w:ascii="仿宋" w:hAnsi="仿宋" w:eastAsia="仿宋" w:cs="仿宋"/>
          <w:sz w:val="36"/>
          <w:szCs w:val="36"/>
        </w:rPr>
        <w:br w:type="page"/>
      </w:r>
    </w:p>
    <w:sdt>
      <w:sdtPr>
        <w:rPr>
          <w:rFonts w:hint="eastAsia" w:ascii="方正小标宋简体" w:hAnsi="方正小标宋简体" w:eastAsia="方正小标宋简体" w:cs="方正小标宋简体"/>
          <w:b/>
          <w:bCs/>
          <w:snapToGrid w:val="0"/>
          <w:color w:val="000000"/>
          <w:kern w:val="0"/>
          <w:sz w:val="36"/>
          <w:szCs w:val="36"/>
          <w:lang w:val="en-US" w:eastAsia="en-US" w:bidi="ar-SA"/>
        </w:rPr>
        <w:id w:val="147476381"/>
        <w15:color w:val="DBDBDB"/>
        <w:docPartObj>
          <w:docPartGallery w:val="Table of Contents"/>
          <w:docPartUnique/>
        </w:docPartObj>
      </w:sdtPr>
      <w:sdtEndPr>
        <w:rPr>
          <w:rFonts w:hint="eastAsia" w:ascii="Arial" w:hAnsi="Arial" w:eastAsia="CESI仿宋-GB2312" w:cs="Arial"/>
          <w:b/>
          <w:bCs/>
          <w:snapToGrid w:val="0"/>
          <w:color w:val="000000"/>
          <w:kern w:val="0"/>
          <w:sz w:val="32"/>
          <w:szCs w:val="21"/>
          <w:lang w:val="en-US" w:eastAsia="en-US" w:bidi="ar-SA"/>
        </w:rPr>
      </w:sdtEndPr>
      <w:sdtContent>
        <w:p>
          <w:pPr>
            <w:pageBreakBefore w:val="0"/>
            <w:widowControl/>
            <w:kinsoku w:val="0"/>
            <w:wordWrap/>
            <w:overflowPunct/>
            <w:topLinePunct w:val="0"/>
            <w:autoSpaceDE w:val="0"/>
            <w:autoSpaceDN w:val="0"/>
            <w:bidi w:val="0"/>
            <w:adjustRightInd w:val="0"/>
            <w:snapToGrid w:val="0"/>
            <w:spacing w:before="0" w:beforeLines="0" w:after="0" w:afterLines="0" w:line="576" w:lineRule="exact"/>
            <w:ind w:left="0" w:leftChars="0" w:right="0" w:rightChars="0" w:firstLine="0" w:firstLineChars="0"/>
            <w:jc w:val="center"/>
            <w:textAlignment w:val="baseline"/>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目</w:t>
          </w:r>
          <w:r>
            <w:rPr>
              <w:rFonts w:hint="eastAsia" w:ascii="方正小标宋简体" w:hAnsi="方正小标宋简体" w:eastAsia="方正小标宋简体" w:cs="方正小标宋简体"/>
              <w:b/>
              <w:bCs/>
              <w:sz w:val="36"/>
              <w:szCs w:val="36"/>
              <w:lang w:val="en-US" w:eastAsia="zh-CN"/>
            </w:rPr>
            <w:t xml:space="preserve">  </w:t>
          </w:r>
          <w:r>
            <w:rPr>
              <w:rFonts w:hint="eastAsia" w:ascii="方正小标宋简体" w:hAnsi="方正小标宋简体" w:eastAsia="方正小标宋简体" w:cs="方正小标宋简体"/>
              <w:b/>
              <w:bCs/>
              <w:sz w:val="36"/>
              <w:szCs w:val="36"/>
            </w:rPr>
            <w:t>录</w:t>
          </w:r>
        </w:p>
        <w:p>
          <w:pPr>
            <w:pStyle w:val="7"/>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TOC \o "1-2" \h \u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_Toc31145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第一章 征集公告</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_Toc31145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2</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7"/>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_Toc23367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第二章 供应商须知前附表</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_Toc23367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5</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7"/>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_Toc20059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第</w:t>
          </w:r>
          <w:r>
            <w:rPr>
              <w:rFonts w:hint="eastAsia" w:ascii="Arial" w:hAnsi="Arial" w:eastAsia="CESI仿宋-GB2312" w:cs="Arial"/>
              <w:snapToGrid w:val="0"/>
              <w:color w:val="000000"/>
              <w:kern w:val="0"/>
              <w:sz w:val="32"/>
              <w:szCs w:val="21"/>
              <w:lang w:val="en-US" w:eastAsia="zh-CN" w:bidi="ar-SA"/>
            </w:rPr>
            <w:t>三</w:t>
          </w:r>
          <w:r>
            <w:rPr>
              <w:rFonts w:hint="eastAsia" w:ascii="Arial" w:hAnsi="Arial" w:eastAsia="CESI仿宋-GB2312" w:cs="Arial"/>
              <w:snapToGrid w:val="0"/>
              <w:color w:val="000000"/>
              <w:kern w:val="0"/>
              <w:sz w:val="32"/>
              <w:szCs w:val="21"/>
              <w:lang w:val="en-US" w:eastAsia="en-US" w:bidi="ar-SA"/>
            </w:rPr>
            <w:t>章 采购需求</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_Toc20059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14</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8"/>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_Toc28614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一、采购项目基本信息</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_Toc28614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14</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8"/>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_Toc5185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二、采购标的及技术参数要求</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_Toc5185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14</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8"/>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_Toc25226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三、商务及服务要求</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_Toc25226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14</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8"/>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_Toc691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四、供应商资格及准入要求</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_Toc691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16</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8"/>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_Toc1694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五、框架协议履行及成交确定</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_Toc1694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16</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8"/>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_Toc32085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六、其他要求</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_Toc32085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17</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7"/>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_Toc17082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第</w:t>
          </w:r>
          <w:r>
            <w:rPr>
              <w:rFonts w:hint="eastAsia" w:ascii="Arial" w:hAnsi="Arial" w:eastAsia="CESI仿宋-GB2312" w:cs="Arial"/>
              <w:snapToGrid w:val="0"/>
              <w:color w:val="000000"/>
              <w:kern w:val="0"/>
              <w:sz w:val="32"/>
              <w:szCs w:val="21"/>
              <w:lang w:val="en-US" w:eastAsia="zh-CN" w:bidi="ar-SA"/>
            </w:rPr>
            <w:t>四</w:t>
          </w:r>
          <w:r>
            <w:rPr>
              <w:rFonts w:hint="eastAsia" w:ascii="Arial" w:hAnsi="Arial" w:eastAsia="CESI仿宋-GB2312" w:cs="Arial"/>
              <w:snapToGrid w:val="0"/>
              <w:color w:val="000000"/>
              <w:kern w:val="0"/>
              <w:sz w:val="32"/>
              <w:szCs w:val="21"/>
              <w:lang w:val="en-US" w:eastAsia="en-US" w:bidi="ar-SA"/>
            </w:rPr>
            <w:t>章 评审办法</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_Toc17082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17</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7"/>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_Toc8990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第</w:t>
          </w:r>
          <w:r>
            <w:rPr>
              <w:rFonts w:hint="eastAsia" w:ascii="Arial" w:hAnsi="Arial" w:eastAsia="CESI仿宋-GB2312" w:cs="Arial"/>
              <w:snapToGrid w:val="0"/>
              <w:color w:val="000000"/>
              <w:kern w:val="0"/>
              <w:sz w:val="32"/>
              <w:szCs w:val="21"/>
              <w:lang w:val="en-US" w:eastAsia="zh-CN" w:bidi="ar-SA"/>
            </w:rPr>
            <w:t>五</w:t>
          </w:r>
          <w:r>
            <w:rPr>
              <w:rFonts w:hint="eastAsia" w:ascii="Arial" w:hAnsi="Arial" w:eastAsia="CESI仿宋-GB2312" w:cs="Arial"/>
              <w:snapToGrid w:val="0"/>
              <w:color w:val="000000"/>
              <w:kern w:val="0"/>
              <w:sz w:val="32"/>
              <w:szCs w:val="21"/>
              <w:lang w:val="en-US" w:eastAsia="en-US" w:bidi="ar-SA"/>
            </w:rPr>
            <w:t>章 投标文件格式</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_Toc8990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22</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8"/>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_Toc10407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一、投标函</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_Toc10407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24</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8"/>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_Toc15004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二、法定代表人身份证明及授权书</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_Toc15004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26</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8"/>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_Toc6403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zh-CN" w:bidi="ar-SA"/>
            </w:rPr>
            <w:t>三</w:t>
          </w:r>
          <w:r>
            <w:rPr>
              <w:rFonts w:hint="eastAsia" w:ascii="Arial" w:hAnsi="Arial" w:eastAsia="CESI仿宋-GB2312" w:cs="Arial"/>
              <w:snapToGrid w:val="0"/>
              <w:color w:val="000000"/>
              <w:kern w:val="0"/>
              <w:sz w:val="32"/>
              <w:szCs w:val="21"/>
              <w:lang w:val="en-US" w:eastAsia="en-US" w:bidi="ar-SA"/>
            </w:rPr>
            <w:t>、开标一览表</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_Toc6403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28</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8"/>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_Toc3374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zh-CN" w:bidi="ar-SA"/>
            </w:rPr>
            <w:t>四</w:t>
          </w:r>
          <w:r>
            <w:rPr>
              <w:rFonts w:hint="eastAsia" w:ascii="Arial" w:hAnsi="Arial" w:eastAsia="CESI仿宋-GB2312" w:cs="Arial"/>
              <w:snapToGrid w:val="0"/>
              <w:color w:val="000000"/>
              <w:kern w:val="0"/>
              <w:sz w:val="32"/>
              <w:szCs w:val="21"/>
              <w:lang w:val="en-US" w:eastAsia="en-US" w:bidi="ar-SA"/>
            </w:rPr>
            <w:t>、技术部分</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_Toc3374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29</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8"/>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_Toc24058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zh-CN" w:bidi="ar-SA"/>
            </w:rPr>
            <w:t>五</w:t>
          </w:r>
          <w:r>
            <w:rPr>
              <w:rFonts w:hint="eastAsia" w:ascii="Arial" w:hAnsi="Arial" w:eastAsia="CESI仿宋-GB2312" w:cs="Arial"/>
              <w:snapToGrid w:val="0"/>
              <w:color w:val="000000"/>
              <w:kern w:val="0"/>
              <w:sz w:val="32"/>
              <w:szCs w:val="21"/>
              <w:lang w:val="en-US" w:eastAsia="en-US" w:bidi="ar-SA"/>
            </w:rPr>
            <w:t>、资格审查资料</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_Toc24058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30</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8"/>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_Toc4439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zh-CN" w:bidi="ar-SA"/>
            </w:rPr>
            <w:t>六</w:t>
          </w:r>
          <w:r>
            <w:rPr>
              <w:rFonts w:hint="eastAsia" w:ascii="Arial" w:hAnsi="Arial" w:eastAsia="CESI仿宋-GB2312" w:cs="Arial"/>
              <w:snapToGrid w:val="0"/>
              <w:color w:val="000000"/>
              <w:kern w:val="0"/>
              <w:sz w:val="32"/>
              <w:szCs w:val="21"/>
              <w:lang w:val="en-US" w:eastAsia="en-US" w:bidi="ar-SA"/>
            </w:rPr>
            <w:t>、政府采购政策文件</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_Toc4439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32</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Style w:val="8"/>
            <w:pageBreakBefore w:val="0"/>
            <w:widowControl/>
            <w:tabs>
              <w:tab w:val="right" w:leader="middleDot" w:pos="8669"/>
            </w:tabs>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HYPERLINK \l _Toc15598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zh-CN" w:bidi="ar-SA"/>
            </w:rPr>
            <w:t>七</w:t>
          </w:r>
          <w:r>
            <w:rPr>
              <w:rFonts w:hint="eastAsia" w:ascii="Arial" w:hAnsi="Arial" w:eastAsia="CESI仿宋-GB2312" w:cs="Arial"/>
              <w:snapToGrid w:val="0"/>
              <w:color w:val="000000"/>
              <w:kern w:val="0"/>
              <w:sz w:val="32"/>
              <w:szCs w:val="21"/>
              <w:lang w:val="en-US" w:eastAsia="en-US" w:bidi="ar-SA"/>
            </w:rPr>
            <w:t>、其他材料</w:t>
          </w:r>
          <w:r>
            <w:rPr>
              <w:rFonts w:hint="eastAsia" w:ascii="Arial" w:hAnsi="Arial" w:eastAsia="CESI仿宋-GB2312" w:cs="Arial"/>
              <w:snapToGrid w:val="0"/>
              <w:color w:val="000000"/>
              <w:kern w:val="0"/>
              <w:sz w:val="32"/>
              <w:szCs w:val="21"/>
              <w:lang w:val="en-US" w:eastAsia="en-US" w:bidi="ar-SA"/>
            </w:rPr>
            <w:tab/>
          </w:r>
          <w:r>
            <w:rPr>
              <w:rFonts w:hint="eastAsia" w:ascii="Arial" w:hAnsi="Arial" w:eastAsia="CESI仿宋-GB2312" w:cs="Arial"/>
              <w:snapToGrid w:val="0"/>
              <w:color w:val="000000"/>
              <w:kern w:val="0"/>
              <w:sz w:val="32"/>
              <w:szCs w:val="21"/>
              <w:lang w:val="en-US" w:eastAsia="en-US" w:bidi="ar-SA"/>
            </w:rPr>
            <w:fldChar w:fldCharType="begin"/>
          </w:r>
          <w:r>
            <w:rPr>
              <w:rFonts w:hint="eastAsia" w:ascii="Arial" w:hAnsi="Arial" w:eastAsia="CESI仿宋-GB2312" w:cs="Arial"/>
              <w:snapToGrid w:val="0"/>
              <w:color w:val="000000"/>
              <w:kern w:val="0"/>
              <w:sz w:val="32"/>
              <w:szCs w:val="21"/>
              <w:lang w:val="en-US" w:eastAsia="en-US" w:bidi="ar-SA"/>
            </w:rPr>
            <w:instrText xml:space="preserve"> PAGEREF _Toc15598 \h </w:instrText>
          </w:r>
          <w:r>
            <w:rPr>
              <w:rFonts w:hint="eastAsia" w:ascii="Arial" w:hAnsi="Arial" w:eastAsia="CESI仿宋-GB2312" w:cs="Arial"/>
              <w:snapToGrid w:val="0"/>
              <w:color w:val="000000"/>
              <w:kern w:val="0"/>
              <w:sz w:val="32"/>
              <w:szCs w:val="21"/>
              <w:lang w:val="en-US" w:eastAsia="en-US" w:bidi="ar-SA"/>
            </w:rPr>
            <w:fldChar w:fldCharType="separate"/>
          </w:r>
          <w:r>
            <w:rPr>
              <w:rFonts w:hint="eastAsia" w:ascii="Arial" w:hAnsi="Arial" w:eastAsia="CESI仿宋-GB2312" w:cs="Arial"/>
              <w:snapToGrid w:val="0"/>
              <w:color w:val="000000"/>
              <w:kern w:val="0"/>
              <w:sz w:val="32"/>
              <w:szCs w:val="21"/>
              <w:lang w:val="en-US" w:eastAsia="en-US" w:bidi="ar-SA"/>
            </w:rPr>
            <w:t>34</w:t>
          </w:r>
          <w:r>
            <w:rPr>
              <w:rFonts w:hint="eastAsia" w:ascii="Arial" w:hAnsi="Arial" w:eastAsia="CESI仿宋-GB2312" w:cs="Arial"/>
              <w:snapToGrid w:val="0"/>
              <w:color w:val="000000"/>
              <w:kern w:val="0"/>
              <w:sz w:val="32"/>
              <w:szCs w:val="21"/>
              <w:lang w:val="en-US" w:eastAsia="en-US" w:bidi="ar-SA"/>
            </w:rPr>
            <w:fldChar w:fldCharType="end"/>
          </w:r>
          <w:r>
            <w:rPr>
              <w:rFonts w:hint="eastAsia" w:ascii="Arial" w:hAnsi="Arial" w:eastAsia="CESI仿宋-GB2312" w:cs="Arial"/>
              <w:snapToGrid w:val="0"/>
              <w:color w:val="000000"/>
              <w:kern w:val="0"/>
              <w:sz w:val="32"/>
              <w:szCs w:val="21"/>
              <w:lang w:val="en-US" w:eastAsia="en-US" w:bidi="ar-SA"/>
            </w:rPr>
            <w:fldChar w:fldCharType="end"/>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Arial" w:hAnsi="Arial" w:eastAsia="CESI仿宋-GB2312" w:cs="Arial"/>
              <w:snapToGrid w:val="0"/>
              <w:color w:val="000000"/>
              <w:kern w:val="0"/>
              <w:sz w:val="32"/>
              <w:szCs w:val="21"/>
              <w:lang w:val="en-US" w:eastAsia="en-US" w:bidi="ar-SA"/>
            </w:rPr>
          </w:pPr>
          <w:r>
            <w:rPr>
              <w:rFonts w:hint="eastAsia" w:ascii="Arial" w:hAnsi="Arial" w:eastAsia="CESI仿宋-GB2312" w:cs="Arial"/>
              <w:snapToGrid w:val="0"/>
              <w:color w:val="000000"/>
              <w:kern w:val="0"/>
              <w:sz w:val="32"/>
              <w:szCs w:val="21"/>
              <w:lang w:val="en-US" w:eastAsia="en-US" w:bidi="ar-SA"/>
            </w:rPr>
            <w:fldChar w:fldCharType="end"/>
          </w:r>
        </w:p>
      </w:sdtContent>
    </w:sdt>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楷体" w:hAnsi="楷体" w:eastAsia="楷体" w:cs="楷体"/>
          <w:bCs/>
          <w:snapToGrid w:val="0"/>
          <w:color w:val="000000"/>
          <w:spacing w:val="-7"/>
          <w:kern w:val="0"/>
          <w:sz w:val="28"/>
          <w:szCs w:val="28"/>
          <w:lang w:val="en-US" w:eastAsia="en-US" w:bidi="ar-SA"/>
        </w:rPr>
      </w:pP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楷体" w:hAnsi="楷体" w:eastAsia="楷体" w:cs="楷体"/>
          <w:b/>
          <w:bCs/>
          <w:spacing w:val="-7"/>
          <w:sz w:val="28"/>
          <w:szCs w:val="28"/>
        </w:rPr>
      </w:pPr>
      <w:bookmarkStart w:id="2" w:name="_Toc31145"/>
      <w:r>
        <w:rPr>
          <w:rFonts w:hint="eastAsia" w:ascii="楷体" w:hAnsi="楷体" w:eastAsia="楷体" w:cs="楷体"/>
          <w:b/>
          <w:bCs/>
          <w:spacing w:val="-7"/>
          <w:sz w:val="28"/>
          <w:szCs w:val="28"/>
        </w:rPr>
        <w:br w:type="page"/>
      </w:r>
    </w:p>
    <w:p>
      <w:pPr>
        <w:pStyle w:val="2"/>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bCs/>
          <w:spacing w:val="-7"/>
          <w:sz w:val="44"/>
          <w:szCs w:val="44"/>
        </w:rPr>
        <w:t>第一章</w:t>
      </w:r>
      <w:r>
        <w:rPr>
          <w:rFonts w:hint="eastAsia" w:ascii="方正小标宋_GBK" w:hAnsi="方正小标宋_GBK" w:eastAsia="方正小标宋_GBK" w:cs="方正小标宋_GBK"/>
          <w:spacing w:val="64"/>
          <w:sz w:val="44"/>
          <w:szCs w:val="44"/>
        </w:rPr>
        <w:t xml:space="preserve"> </w:t>
      </w:r>
      <w:r>
        <w:rPr>
          <w:rFonts w:hint="eastAsia" w:ascii="方正小标宋_GBK" w:hAnsi="方正小标宋_GBK" w:eastAsia="方正小标宋_GBK" w:cs="方正小标宋_GBK"/>
          <w:b/>
          <w:bCs/>
          <w:spacing w:val="-4"/>
          <w:sz w:val="44"/>
          <w:szCs w:val="44"/>
        </w:rPr>
        <w:t>征集公告</w:t>
      </w:r>
      <w:bookmarkEnd w:id="2"/>
    </w:p>
    <w:p>
      <w:pPr>
        <w:pStyle w:val="3"/>
        <w:pageBreakBefore w:val="0"/>
        <w:widowControl/>
        <w:kinsoku w:val="0"/>
        <w:wordWrap/>
        <w:overflowPunct/>
        <w:topLinePunct w:val="0"/>
        <w:autoSpaceDE w:val="0"/>
        <w:autoSpaceDN w:val="0"/>
        <w:bidi w:val="0"/>
        <w:adjustRightInd w:val="0"/>
        <w:snapToGrid w:val="0"/>
        <w:spacing w:line="576" w:lineRule="exact"/>
        <w:ind w:left="0" w:leftChars="0" w:firstLine="0" w:firstLineChars="0"/>
        <w:textAlignment w:val="baseline"/>
        <w:rPr>
          <w:rFonts w:hint="eastAsia"/>
        </w:rPr>
      </w:pPr>
      <w:bookmarkStart w:id="3" w:name="_Toc12923"/>
      <w:r>
        <w:rPr>
          <w:rFonts w:hint="eastAsia"/>
        </w:rPr>
        <w:t>1. 项目基本情况</w:t>
      </w:r>
      <w:bookmarkEnd w:id="3"/>
    </w:p>
    <w:p>
      <w:pPr>
        <w:pageBreakBefore w:val="0"/>
        <w:widowControl/>
        <w:kinsoku w:val="0"/>
        <w:wordWrap/>
        <w:overflowPunct/>
        <w:topLinePunct w:val="0"/>
        <w:autoSpaceDE w:val="0"/>
        <w:autoSpaceDN w:val="0"/>
        <w:bidi w:val="0"/>
        <w:adjustRightInd w:val="0"/>
        <w:snapToGrid w:val="0"/>
        <w:spacing w:line="576" w:lineRule="exact"/>
        <w:textAlignment w:val="baseline"/>
        <w:rPr>
          <w:rFonts w:hint="default"/>
          <w:lang w:val="en" w:eastAsia="zh-CN"/>
        </w:rPr>
      </w:pPr>
      <w:r>
        <w:rPr>
          <w:rFonts w:hint="eastAsia"/>
        </w:rPr>
        <w:t>1.1项目编号：</w:t>
      </w:r>
      <w:r>
        <w:rPr>
          <w:rFonts w:hint="default"/>
          <w:lang w:val="en" w:eastAsia="zh-CN"/>
        </w:rPr>
        <w:t>/</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lang w:val="en-US"/>
        </w:rPr>
      </w:pPr>
      <w:r>
        <w:rPr>
          <w:rFonts w:hint="eastAsia"/>
        </w:rPr>
        <w:t>1.2项目名称：西藏自治区住房和城乡建设厅</w:t>
      </w:r>
      <w:r>
        <w:rPr>
          <w:rFonts w:hint="eastAsia"/>
          <w:lang w:eastAsia="zh-CN"/>
        </w:rPr>
        <w:t>机关</w:t>
      </w:r>
      <w:r>
        <w:rPr>
          <w:rFonts w:hint="eastAsia"/>
          <w:lang w:val="en-US" w:eastAsia="zh-CN"/>
        </w:rPr>
        <w:t>公务用车定点维修</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lang w:val="en-US" w:eastAsia="zh-CN"/>
        </w:rPr>
      </w:pPr>
      <w:r>
        <w:rPr>
          <w:rFonts w:hint="eastAsia"/>
        </w:rPr>
        <w:t>1.3 采购需求：</w:t>
      </w:r>
      <w:r>
        <w:rPr>
          <w:rFonts w:hint="eastAsia"/>
          <w:lang w:val="en-US" w:eastAsia="zh-CN"/>
        </w:rPr>
        <w:t>单位公务用车定点维修</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rPr>
      </w:pPr>
      <w:r>
        <w:rPr>
          <w:rFonts w:hint="eastAsia"/>
        </w:rPr>
        <w:t>1.4 预算金额：</w:t>
      </w:r>
      <w:r>
        <w:rPr>
          <w:rFonts w:hint="eastAsia"/>
          <w:lang w:val="en-US" w:eastAsia="zh-CN"/>
        </w:rPr>
        <w:t>以实际结算为准</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lang w:val="en-US" w:eastAsia="zh-CN"/>
        </w:rPr>
      </w:pPr>
      <w:r>
        <w:rPr>
          <w:rFonts w:hint="eastAsia"/>
        </w:rPr>
        <w:t xml:space="preserve">1.5框架协议期限: </w:t>
      </w:r>
      <w:r>
        <w:rPr>
          <w:rFonts w:hint="eastAsia"/>
          <w:lang w:val="en-US" w:eastAsia="zh-CN"/>
        </w:rPr>
        <w:t>2</w:t>
      </w:r>
      <w:r>
        <w:rPr>
          <w:rFonts w:hint="eastAsia"/>
        </w:rPr>
        <w:t>年</w:t>
      </w:r>
      <w:r>
        <w:rPr>
          <w:rFonts w:hint="eastAsia"/>
          <w:lang w:eastAsia="zh-CN"/>
        </w:rPr>
        <w:t>（</w:t>
      </w:r>
      <w:r>
        <w:rPr>
          <w:rFonts w:hint="eastAsia"/>
          <w:lang w:val="en-US" w:eastAsia="zh-CN"/>
        </w:rPr>
        <w:t>合同一年一签订）</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lang w:val="en-US" w:eastAsia="zh-CN"/>
        </w:rPr>
      </w:pPr>
      <w:r>
        <w:rPr>
          <w:rFonts w:hint="eastAsia"/>
          <w:lang w:val="en-US" w:eastAsia="zh-CN"/>
        </w:rPr>
        <w:t>1.</w:t>
      </w:r>
      <w:r>
        <w:rPr>
          <w:rFonts w:hint="eastAsia"/>
          <w:lang w:val="en-US" w:eastAsia="en-US"/>
        </w:rPr>
        <w:t>6入围供应商数量上限：</w:t>
      </w:r>
      <w:r>
        <w:rPr>
          <w:rFonts w:hint="eastAsia"/>
          <w:lang w:val="en-US" w:eastAsia="zh-CN"/>
        </w:rPr>
        <w:t>3家</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rPr>
      </w:pPr>
      <w:r>
        <w:rPr>
          <w:rFonts w:hint="eastAsia"/>
        </w:rPr>
        <w:t>1.7本项目不接受联合体投标</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rPr>
      </w:pPr>
      <w:r>
        <w:rPr>
          <w:rFonts w:hint="eastAsia"/>
        </w:rPr>
        <w:t>1.8本项目为封闭式框架协议采购</w:t>
      </w:r>
    </w:p>
    <w:p>
      <w:pPr>
        <w:pStyle w:val="3"/>
        <w:pageBreakBefore w:val="0"/>
        <w:widowControl/>
        <w:kinsoku w:val="0"/>
        <w:wordWrap/>
        <w:overflowPunct/>
        <w:topLinePunct w:val="0"/>
        <w:autoSpaceDE w:val="0"/>
        <w:autoSpaceDN w:val="0"/>
        <w:bidi w:val="0"/>
        <w:adjustRightInd w:val="0"/>
        <w:snapToGrid w:val="0"/>
        <w:spacing w:line="576" w:lineRule="exact"/>
        <w:ind w:left="0" w:leftChars="0" w:firstLine="0" w:firstLineChars="0"/>
        <w:textAlignment w:val="baseline"/>
        <w:rPr>
          <w:rFonts w:hint="eastAsia"/>
        </w:rPr>
      </w:pPr>
      <w:bookmarkStart w:id="4" w:name="_Toc21775"/>
      <w:r>
        <w:rPr>
          <w:rFonts w:hint="eastAsia"/>
        </w:rPr>
        <w:t>2. 申请人的资格要求</w:t>
      </w:r>
      <w:bookmarkEnd w:id="4"/>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rPr>
      </w:pPr>
      <w:r>
        <w:rPr>
          <w:rFonts w:hint="eastAsia"/>
        </w:rPr>
        <w:t>2.1满足《中华人民共和国政府采购法》第二十二条规定；</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rPr>
      </w:pPr>
      <w:r>
        <w:rPr>
          <w:rFonts w:hint="eastAsia"/>
        </w:rPr>
        <w:t>2.2 经信用中国、中国政府采购网等渠道查询后，投标单位列入失信被执行人或重大税收违法失信主体或政府采购严重违法失信行为记录名单的，在国家统一信用信息平台有重大质量事故、不良记录、劣迹通报的，取消投标资格；被财政部门禁止参加政府采购活动（处罚决定规定的时间和地域范围内）的投标人禁止参加本项目的投标活动；</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rPr>
      </w:pPr>
      <w:r>
        <w:rPr>
          <w:rFonts w:hint="eastAsia"/>
        </w:rPr>
        <w:t>2.3 单位负责人为同一人或者存在直接控股、管理关系的不同投标人，不得参加同一合同项下的采购活动。否则，皆取消投标资格；</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rPr>
      </w:pPr>
      <w:r>
        <w:rPr>
          <w:rFonts w:hint="eastAsia"/>
        </w:rPr>
        <w:t>2.4为本采购项目提供整体设计、规范编制或者项目管理、监理、检测等服务的投标人，不得再参加该采购项目的其他采购活动；</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rPr>
      </w:pPr>
      <w:r>
        <w:rPr>
          <w:rFonts w:hint="eastAsia"/>
        </w:rPr>
        <w:t>2.5落实政府采购政策需满足的资格要求：本项目</w:t>
      </w:r>
      <w:r>
        <w:rPr>
          <w:rFonts w:hint="eastAsia"/>
          <w:lang w:eastAsia="zh-CN"/>
        </w:rPr>
        <w:t>为</w:t>
      </w:r>
      <w:r>
        <w:rPr>
          <w:rFonts w:hint="eastAsia"/>
        </w:rPr>
        <w:t>非专门面向中小企业采购。</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rPr>
      </w:pPr>
      <w:r>
        <w:rPr>
          <w:rFonts w:hint="eastAsia"/>
        </w:rPr>
        <w:t>2.6本项目的特定资格要求：投标人须具有二类（及以上）汽车维修资质</w:t>
      </w:r>
      <w:r>
        <w:rPr>
          <w:rFonts w:hint="eastAsia"/>
          <w:lang w:eastAsia="zh-CN"/>
        </w:rPr>
        <w:t>。</w:t>
      </w:r>
    </w:p>
    <w:p>
      <w:pPr>
        <w:pStyle w:val="3"/>
        <w:pageBreakBefore w:val="0"/>
        <w:widowControl/>
        <w:kinsoku w:val="0"/>
        <w:wordWrap/>
        <w:overflowPunct/>
        <w:topLinePunct w:val="0"/>
        <w:autoSpaceDE w:val="0"/>
        <w:autoSpaceDN w:val="0"/>
        <w:bidi w:val="0"/>
        <w:adjustRightInd w:val="0"/>
        <w:snapToGrid w:val="0"/>
        <w:spacing w:line="576" w:lineRule="exact"/>
        <w:ind w:left="0" w:leftChars="0" w:firstLine="0" w:firstLineChars="0"/>
        <w:textAlignment w:val="baseline"/>
        <w:rPr>
          <w:rFonts w:hint="eastAsia" w:ascii="Arial" w:hAnsi="Arial" w:eastAsia="黑体"/>
        </w:rPr>
      </w:pPr>
      <w:bookmarkStart w:id="5" w:name="_Toc1667"/>
      <w:r>
        <w:rPr>
          <w:rFonts w:hint="eastAsia" w:ascii="Arial" w:hAnsi="Arial" w:eastAsia="黑体"/>
        </w:rPr>
        <w:t>3. 获取征集文件</w:t>
      </w:r>
      <w:bookmarkEnd w:id="5"/>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rPr>
      </w:pPr>
      <w:r>
        <w:rPr>
          <w:rFonts w:hint="eastAsia"/>
        </w:rPr>
        <w:t>时间：自202</w:t>
      </w:r>
      <w:r>
        <w:rPr>
          <w:rFonts w:hint="eastAsia"/>
          <w:lang w:val="en-US" w:eastAsia="zh-CN"/>
        </w:rPr>
        <w:t>6</w:t>
      </w:r>
      <w:r>
        <w:rPr>
          <w:rFonts w:hint="eastAsia"/>
        </w:rPr>
        <w:t>年</w:t>
      </w:r>
      <w:r>
        <w:rPr>
          <w:rFonts w:hint="eastAsia"/>
          <w:lang w:val="en-US" w:eastAsia="zh-CN"/>
        </w:rPr>
        <w:t>4</w:t>
      </w:r>
      <w:r>
        <w:rPr>
          <w:rFonts w:hint="eastAsia"/>
        </w:rPr>
        <w:t>月</w:t>
      </w:r>
      <w:r>
        <w:rPr>
          <w:rFonts w:hint="eastAsia"/>
          <w:lang w:val="en-US" w:eastAsia="zh-CN"/>
        </w:rPr>
        <w:t>17</w:t>
      </w:r>
      <w:r>
        <w:rPr>
          <w:rFonts w:hint="eastAsia"/>
        </w:rPr>
        <w:t>日至202</w:t>
      </w:r>
      <w:r>
        <w:rPr>
          <w:rFonts w:hint="eastAsia"/>
          <w:lang w:val="en-US" w:eastAsia="zh-CN"/>
        </w:rPr>
        <w:t>6</w:t>
      </w:r>
      <w:r>
        <w:rPr>
          <w:rFonts w:hint="eastAsia"/>
        </w:rPr>
        <w:t>年</w:t>
      </w:r>
      <w:r>
        <w:rPr>
          <w:rFonts w:hint="eastAsia"/>
          <w:lang w:val="en-US" w:eastAsia="zh-CN"/>
        </w:rPr>
        <w:t>4</w:t>
      </w:r>
      <w:r>
        <w:rPr>
          <w:rFonts w:hint="eastAsia"/>
        </w:rPr>
        <w:t>月</w:t>
      </w:r>
      <w:r>
        <w:rPr>
          <w:rFonts w:hint="eastAsia"/>
          <w:lang w:val="en-US" w:eastAsia="zh-CN"/>
        </w:rPr>
        <w:t>23</w:t>
      </w:r>
      <w:r>
        <w:rPr>
          <w:rFonts w:hint="eastAsia"/>
        </w:rPr>
        <w:t>日（北京时间）</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lang w:eastAsia="zh-CN"/>
        </w:rPr>
      </w:pPr>
      <w:r>
        <w:rPr>
          <w:rFonts w:hint="eastAsia"/>
        </w:rPr>
        <w:fldChar w:fldCharType="begin"/>
      </w:r>
      <w:r>
        <w:rPr>
          <w:rFonts w:hint="eastAsia"/>
        </w:rPr>
        <w:instrText xml:space="preserve"> HYPERLINK "http://www.zcygov.cn/" </w:instrText>
      </w:r>
      <w:r>
        <w:rPr>
          <w:rFonts w:hint="eastAsia"/>
        </w:rPr>
        <w:fldChar w:fldCharType="separate"/>
      </w:r>
      <w:r>
        <w:rPr>
          <w:rFonts w:hint="eastAsia"/>
        </w:rPr>
        <w:t>地点：</w:t>
      </w:r>
      <w:r>
        <w:rPr>
          <w:rFonts w:hint="eastAsia"/>
        </w:rPr>
        <w:fldChar w:fldCharType="end"/>
      </w:r>
      <w:r>
        <w:rPr>
          <w:rFonts w:hint="eastAsia"/>
          <w:lang w:eastAsia="zh-CN"/>
        </w:rPr>
        <w:t>西藏自治</w:t>
      </w:r>
      <w:r>
        <w:rPr>
          <w:rFonts w:hint="eastAsia"/>
          <w:lang w:val="en-US" w:eastAsia="zh-CN"/>
        </w:rPr>
        <w:t>区住房和城乡建设厅官方网站</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rPr>
      </w:pPr>
      <w:r>
        <w:rPr>
          <w:rFonts w:hint="eastAsia"/>
        </w:rPr>
        <w:t>售价：免费</w:t>
      </w:r>
    </w:p>
    <w:p>
      <w:pPr>
        <w:pStyle w:val="3"/>
        <w:pageBreakBefore w:val="0"/>
        <w:widowControl/>
        <w:kinsoku w:val="0"/>
        <w:wordWrap/>
        <w:overflowPunct/>
        <w:topLinePunct w:val="0"/>
        <w:autoSpaceDE w:val="0"/>
        <w:autoSpaceDN w:val="0"/>
        <w:bidi w:val="0"/>
        <w:adjustRightInd w:val="0"/>
        <w:snapToGrid w:val="0"/>
        <w:spacing w:line="576" w:lineRule="exact"/>
        <w:ind w:left="0" w:leftChars="0" w:firstLine="0" w:firstLineChars="0"/>
        <w:textAlignment w:val="baseline"/>
        <w:rPr>
          <w:rFonts w:hint="eastAsia" w:ascii="Arial" w:hAnsi="Arial" w:eastAsia="黑体"/>
        </w:rPr>
      </w:pPr>
      <w:bookmarkStart w:id="6" w:name="_Toc8201"/>
      <w:r>
        <w:rPr>
          <w:rFonts w:hint="eastAsia" w:ascii="Arial" w:hAnsi="Arial" w:eastAsia="黑体"/>
        </w:rPr>
        <w:t>4. 提交投标文件截止时间</w:t>
      </w:r>
      <w:r>
        <w:rPr>
          <w:rFonts w:hint="eastAsia" w:ascii="Arial" w:hAnsi="Arial" w:eastAsia="黑体"/>
          <w:lang w:eastAsia="zh-CN"/>
        </w:rPr>
        <w:t>、</w:t>
      </w:r>
      <w:r>
        <w:rPr>
          <w:rFonts w:hint="eastAsia" w:ascii="Arial" w:hAnsi="Arial" w:eastAsia="黑体"/>
        </w:rPr>
        <w:t>地点</w:t>
      </w:r>
      <w:bookmarkEnd w:id="6"/>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rPr>
      </w:pPr>
      <w:r>
        <w:rPr>
          <w:rFonts w:hint="eastAsia"/>
        </w:rPr>
        <w:t>4.1投标文件提交截止时间：202</w:t>
      </w:r>
      <w:r>
        <w:rPr>
          <w:rFonts w:hint="eastAsia"/>
          <w:lang w:val="en-US" w:eastAsia="zh-CN"/>
        </w:rPr>
        <w:t>6</w:t>
      </w:r>
      <w:r>
        <w:rPr>
          <w:rFonts w:hint="eastAsia"/>
        </w:rPr>
        <w:t>年</w:t>
      </w:r>
      <w:r>
        <w:rPr>
          <w:rFonts w:hint="eastAsia"/>
          <w:lang w:val="en-US" w:eastAsia="zh-CN"/>
        </w:rPr>
        <w:t>4</w:t>
      </w:r>
      <w:r>
        <w:rPr>
          <w:rFonts w:hint="eastAsia"/>
        </w:rPr>
        <w:t>月</w:t>
      </w:r>
      <w:r>
        <w:rPr>
          <w:rFonts w:hint="eastAsia"/>
          <w:lang w:val="en-US" w:eastAsia="zh-CN"/>
        </w:rPr>
        <w:t>24</w:t>
      </w:r>
      <w:r>
        <w:rPr>
          <w:rFonts w:hint="eastAsia"/>
        </w:rPr>
        <w:t>日</w:t>
      </w:r>
      <w:r>
        <w:rPr>
          <w:rFonts w:hint="eastAsia"/>
          <w:lang w:val="en-US" w:eastAsia="zh-CN"/>
        </w:rPr>
        <w:t>10</w:t>
      </w:r>
      <w:r>
        <w:rPr>
          <w:rFonts w:hint="eastAsia"/>
        </w:rPr>
        <w:t>点</w:t>
      </w:r>
      <w:r>
        <w:rPr>
          <w:rFonts w:hint="eastAsia"/>
          <w:lang w:val="en-US" w:eastAsia="zh-CN"/>
        </w:rPr>
        <w:t>00</w:t>
      </w:r>
      <w:r>
        <w:rPr>
          <w:rFonts w:hint="eastAsia"/>
        </w:rPr>
        <w:t>分（北京时间）；</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lang w:val="en-US" w:eastAsia="zh-CN"/>
        </w:rPr>
      </w:pPr>
      <w:r>
        <w:rPr>
          <w:rFonts w:hint="eastAsia"/>
        </w:rPr>
        <w:t>4.2</w:t>
      </w:r>
      <w:r>
        <w:rPr>
          <w:rFonts w:hint="eastAsia"/>
          <w:lang w:val="en-US" w:eastAsia="zh-CN"/>
        </w:rPr>
        <w:t>地点：</w:t>
      </w:r>
      <w:bookmarkStart w:id="7" w:name="_Toc7556"/>
      <w:r>
        <w:rPr>
          <w:rFonts w:hint="eastAsia"/>
          <w:lang w:val="en-US" w:eastAsia="zh-CN"/>
        </w:rPr>
        <w:t>西藏自治区住房和城乡建设厅（拉萨市城关区当热西路1号）</w:t>
      </w:r>
    </w:p>
    <w:p>
      <w:pPr>
        <w:pStyle w:val="3"/>
        <w:pageBreakBefore w:val="0"/>
        <w:widowControl/>
        <w:kinsoku w:val="0"/>
        <w:wordWrap/>
        <w:overflowPunct/>
        <w:topLinePunct w:val="0"/>
        <w:autoSpaceDE w:val="0"/>
        <w:autoSpaceDN w:val="0"/>
        <w:bidi w:val="0"/>
        <w:adjustRightInd w:val="0"/>
        <w:snapToGrid w:val="0"/>
        <w:spacing w:line="576" w:lineRule="exact"/>
        <w:ind w:left="0" w:leftChars="0" w:firstLine="0" w:firstLineChars="0"/>
        <w:textAlignment w:val="baseline"/>
        <w:rPr>
          <w:rFonts w:hint="eastAsia"/>
          <w:lang w:eastAsia="zh-CN"/>
        </w:rPr>
      </w:pPr>
      <w:r>
        <w:rPr>
          <w:rFonts w:hint="eastAsia"/>
        </w:rPr>
        <w:t>5. 公告期限</w:t>
      </w:r>
      <w:bookmarkEnd w:id="7"/>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rPr>
      </w:pPr>
      <w:r>
        <w:rPr>
          <w:rFonts w:hint="eastAsia"/>
        </w:rPr>
        <w:t>自本公告发布之日起 5 个工作日</w:t>
      </w:r>
      <w:r>
        <w:rPr>
          <w:rFonts w:hint="eastAsia"/>
          <w:lang w:eastAsia="zh-CN"/>
        </w:rPr>
        <w:t>内</w:t>
      </w:r>
      <w:r>
        <w:rPr>
          <w:rFonts w:hint="eastAsia"/>
        </w:rPr>
        <w:t>。</w:t>
      </w:r>
    </w:p>
    <w:p>
      <w:pPr>
        <w:pStyle w:val="3"/>
        <w:pageBreakBefore w:val="0"/>
        <w:widowControl/>
        <w:kinsoku w:val="0"/>
        <w:wordWrap/>
        <w:overflowPunct/>
        <w:topLinePunct w:val="0"/>
        <w:autoSpaceDE w:val="0"/>
        <w:autoSpaceDN w:val="0"/>
        <w:bidi w:val="0"/>
        <w:adjustRightInd w:val="0"/>
        <w:snapToGrid w:val="0"/>
        <w:spacing w:line="576" w:lineRule="exact"/>
        <w:ind w:left="0" w:leftChars="0" w:firstLine="0" w:firstLineChars="0"/>
        <w:textAlignment w:val="baseline"/>
        <w:rPr>
          <w:rFonts w:hint="eastAsia" w:ascii="Arial" w:hAnsi="Arial" w:eastAsia="黑体"/>
          <w:lang w:val="en-US" w:eastAsia="en-US"/>
        </w:rPr>
      </w:pPr>
      <w:r>
        <w:rPr>
          <w:rFonts w:hint="eastAsia" w:ascii="Arial" w:hAnsi="Arial" w:eastAsia="黑体"/>
          <w:lang w:val="en-US" w:eastAsia="zh-CN"/>
        </w:rPr>
        <w:t>6.</w:t>
      </w:r>
      <w:r>
        <w:rPr>
          <w:rFonts w:hint="eastAsia" w:ascii="Arial" w:hAnsi="Arial" w:eastAsia="黑体"/>
          <w:lang w:val="en-US" w:eastAsia="en-US"/>
        </w:rPr>
        <w:t>比选</w:t>
      </w:r>
      <w:r>
        <w:rPr>
          <w:rFonts w:hint="eastAsia" w:ascii="Arial" w:hAnsi="Arial" w:eastAsia="黑体"/>
          <w:lang w:val="en-US" w:eastAsia="zh-CN"/>
        </w:rPr>
        <w:t>结果通知</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lang w:val="en-US" w:eastAsia="en-US"/>
        </w:rPr>
      </w:pPr>
      <w:r>
        <w:rPr>
          <w:rFonts w:hint="eastAsia"/>
          <w:lang w:val="en-US" w:eastAsia="zh-CN"/>
        </w:rPr>
        <w:t>将于比选结束7个工作日内在西藏自治区住房和城乡建设厅官网（ http://zjt.xizang.gov.cn/）公布中选结果</w:t>
      </w:r>
      <w:r>
        <w:rPr>
          <w:rFonts w:hint="eastAsia"/>
          <w:lang w:val="en-US" w:eastAsia="en-US"/>
        </w:rPr>
        <w:t>。</w:t>
      </w:r>
    </w:p>
    <w:p>
      <w:pPr>
        <w:pStyle w:val="3"/>
        <w:pageBreakBefore w:val="0"/>
        <w:widowControl/>
        <w:kinsoku w:val="0"/>
        <w:wordWrap/>
        <w:overflowPunct/>
        <w:topLinePunct w:val="0"/>
        <w:autoSpaceDE w:val="0"/>
        <w:autoSpaceDN w:val="0"/>
        <w:bidi w:val="0"/>
        <w:adjustRightInd w:val="0"/>
        <w:snapToGrid w:val="0"/>
        <w:spacing w:line="576" w:lineRule="exact"/>
        <w:ind w:left="0" w:leftChars="0" w:firstLine="0" w:firstLineChars="0"/>
        <w:textAlignment w:val="baseline"/>
        <w:rPr>
          <w:rFonts w:hint="eastAsia" w:ascii="Arial" w:hAnsi="Arial" w:eastAsia="黑体"/>
          <w:lang w:val="en-US" w:eastAsia="zh-CN"/>
        </w:rPr>
      </w:pPr>
      <w:bookmarkStart w:id="8" w:name="_Toc3037"/>
      <w:r>
        <w:rPr>
          <w:rFonts w:hint="eastAsia" w:ascii="Arial" w:hAnsi="Arial" w:eastAsia="黑体"/>
          <w:lang w:val="en-US" w:eastAsia="zh-CN"/>
        </w:rPr>
        <w:t>7. 其他补充事宜</w:t>
      </w:r>
      <w:bookmarkEnd w:id="8"/>
    </w:p>
    <w:p>
      <w:pPr>
        <w:pageBreakBefore w:val="0"/>
        <w:widowControl/>
        <w:kinsoku w:val="0"/>
        <w:wordWrap/>
        <w:overflowPunct/>
        <w:topLinePunct w:val="0"/>
        <w:autoSpaceDE w:val="0"/>
        <w:autoSpaceDN w:val="0"/>
        <w:bidi w:val="0"/>
        <w:adjustRightInd w:val="0"/>
        <w:snapToGrid w:val="0"/>
        <w:spacing w:line="576" w:lineRule="exact"/>
        <w:ind w:left="0" w:leftChars="0" w:firstLine="0" w:firstLineChars="0"/>
        <w:textAlignment w:val="baseline"/>
        <w:rPr>
          <w:rFonts w:hint="eastAsia" w:ascii="仿宋" w:hAnsi="仿宋" w:eastAsia="仿宋" w:cs="仿宋"/>
        </w:rPr>
      </w:pPr>
      <w:r>
        <w:rPr>
          <w:rFonts w:hint="eastAsia" w:ascii="仿宋" w:hAnsi="仿宋" w:cs="仿宋"/>
          <w:lang w:val="en-US" w:eastAsia="zh-CN"/>
        </w:rPr>
        <w:t xml:space="preserve"> </w:t>
      </w:r>
      <w:r>
        <w:rPr>
          <w:rFonts w:hint="eastAsia" w:ascii="Arial" w:hAnsi="Arial" w:eastAsia="仿宋"/>
          <w:lang w:val="en-US" w:eastAsia="zh-CN"/>
        </w:rPr>
        <w:t xml:space="preserve">  本公告发布媒体：</w:t>
      </w:r>
      <w:bookmarkStart w:id="9" w:name="_Toc24145"/>
      <w:r>
        <w:rPr>
          <w:rFonts w:hint="eastAsia" w:ascii="Arial" w:hAnsi="Arial" w:eastAsia="仿宋"/>
          <w:lang w:val="en-US" w:eastAsia="zh-CN"/>
        </w:rPr>
        <w:t>西藏自治区住房和城乡建设厅官方网站（ http://zjt.xizang.gov.cn/）</w:t>
      </w:r>
    </w:p>
    <w:p>
      <w:pPr>
        <w:pStyle w:val="3"/>
        <w:pageBreakBefore w:val="0"/>
        <w:widowControl/>
        <w:kinsoku w:val="0"/>
        <w:wordWrap/>
        <w:overflowPunct/>
        <w:topLinePunct w:val="0"/>
        <w:autoSpaceDE w:val="0"/>
        <w:autoSpaceDN w:val="0"/>
        <w:bidi w:val="0"/>
        <w:adjustRightInd w:val="0"/>
        <w:snapToGrid w:val="0"/>
        <w:spacing w:line="576" w:lineRule="exact"/>
        <w:ind w:left="0" w:leftChars="0" w:firstLine="0" w:firstLineChars="0"/>
        <w:textAlignment w:val="baseline"/>
        <w:rPr>
          <w:rFonts w:hint="eastAsia" w:ascii="Arial" w:hAnsi="Arial" w:eastAsia="黑体"/>
          <w:lang w:val="en-US" w:eastAsia="zh-CN"/>
        </w:rPr>
      </w:pPr>
      <w:r>
        <w:rPr>
          <w:rFonts w:hint="eastAsia" w:ascii="Arial" w:hAnsi="Arial" w:eastAsia="黑体"/>
          <w:lang w:val="en-US" w:eastAsia="zh-CN"/>
        </w:rPr>
        <w:t>8.征集人信息</w:t>
      </w:r>
      <w:bookmarkEnd w:id="9"/>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lang w:val="en-US" w:eastAsia="zh-CN"/>
        </w:rPr>
      </w:pPr>
      <w:r>
        <w:rPr>
          <w:rFonts w:hint="eastAsia"/>
          <w:lang w:val="en-US" w:eastAsia="zh-CN"/>
        </w:rPr>
        <w:t xml:space="preserve">名 称：西藏自治区住房和城乡建设厅 </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lang w:val="en-US" w:eastAsia="zh-CN"/>
        </w:rPr>
      </w:pPr>
      <w:r>
        <w:rPr>
          <w:rFonts w:hint="eastAsia"/>
          <w:lang w:val="en-US" w:eastAsia="zh-CN"/>
        </w:rPr>
        <w:t>地 址： 西藏自治区拉萨市城关区当热西路1号</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仿宋" w:hAnsi="仿宋" w:eastAsia="仿宋" w:cs="仿宋"/>
          <w:lang w:val="en-US" w:eastAsia="zh-CN"/>
        </w:rPr>
      </w:pPr>
      <w:r>
        <w:rPr>
          <w:rFonts w:hint="eastAsia"/>
          <w:lang w:val="en-US" w:eastAsia="zh-CN"/>
        </w:rPr>
        <w:t>联系方式： 13989017927</w:t>
      </w:r>
      <w:r>
        <w:rPr>
          <w:rFonts w:hint="eastAsia" w:ascii="仿宋" w:hAnsi="仿宋" w:eastAsia="仿宋" w:cs="仿宋"/>
          <w:lang w:val="en-US" w:eastAsia="zh-CN"/>
        </w:rPr>
        <w:br w:type="page"/>
      </w:r>
    </w:p>
    <w:p>
      <w:pPr>
        <w:pStyle w:val="2"/>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方正小标宋_GBK" w:hAnsi="方正小标宋_GBK" w:eastAsia="方正小标宋_GBK" w:cs="方正小标宋_GBK"/>
          <w:sz w:val="44"/>
          <w:szCs w:val="44"/>
        </w:rPr>
      </w:pPr>
      <w:bookmarkStart w:id="10" w:name="_Toc20471"/>
      <w:bookmarkStart w:id="11" w:name="_Toc23367"/>
      <w:r>
        <w:rPr>
          <w:rFonts w:hint="eastAsia" w:ascii="方正小标宋_GBK" w:hAnsi="方正小标宋_GBK" w:eastAsia="方正小标宋_GBK" w:cs="方正小标宋_GBK"/>
          <w:b/>
          <w:bCs/>
          <w:spacing w:val="-10"/>
          <w:sz w:val="44"/>
          <w:szCs w:val="44"/>
        </w:rPr>
        <w:t>第二章</w:t>
      </w:r>
      <w:r>
        <w:rPr>
          <w:rFonts w:hint="eastAsia" w:ascii="方正小标宋_GBK" w:hAnsi="方正小标宋_GBK" w:eastAsia="方正小标宋_GBK" w:cs="方正小标宋_GBK"/>
          <w:spacing w:val="-109"/>
          <w:sz w:val="44"/>
          <w:szCs w:val="44"/>
        </w:rPr>
        <w:t xml:space="preserve"> </w:t>
      </w:r>
      <w:r>
        <w:rPr>
          <w:rFonts w:hint="eastAsia" w:ascii="方正小标宋_GBK" w:hAnsi="方正小标宋_GBK" w:eastAsia="方正小标宋_GBK" w:cs="方正小标宋_GBK"/>
          <w:b/>
          <w:bCs/>
          <w:spacing w:val="-10"/>
          <w:sz w:val="44"/>
          <w:szCs w:val="44"/>
        </w:rPr>
        <w:t>供应商须知前附表</w:t>
      </w:r>
      <w:bookmarkEnd w:id="10"/>
      <w:bookmarkEnd w:id="11"/>
    </w:p>
    <w:tbl>
      <w:tblPr>
        <w:tblStyle w:val="15"/>
        <w:tblpPr w:leftFromText="180" w:rightFromText="180" w:vertAnchor="text" w:horzAnchor="page" w:tblpX="1736" w:tblpY="539"/>
        <w:tblOverlap w:val="never"/>
        <w:tblW w:w="836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46"/>
        <w:gridCol w:w="1709"/>
        <w:gridCol w:w="5904"/>
        <w:gridCol w:w="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720" w:hRule="atLeast"/>
          <w:tblHeader/>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r>
              <w:t>序号</w:t>
            </w:r>
          </w:p>
        </w:tc>
        <w:tc>
          <w:tcPr>
            <w:tcW w:w="170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r>
              <w:t>条款名称</w:t>
            </w:r>
          </w:p>
        </w:tc>
        <w:tc>
          <w:tcPr>
            <w:tcW w:w="590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r>
              <w:t>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89"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r>
              <w:t>1</w:t>
            </w:r>
          </w:p>
        </w:tc>
        <w:tc>
          <w:tcPr>
            <w:tcW w:w="170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r>
              <w:t>征集人</w:t>
            </w:r>
          </w:p>
        </w:tc>
        <w:tc>
          <w:tcPr>
            <w:tcW w:w="5904"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both"/>
              <w:textAlignment w:val="baseline"/>
              <w:rPr>
                <w:rFonts w:hint="eastAsia"/>
              </w:rPr>
            </w:pPr>
            <w:r>
              <w:t>名称：</w:t>
            </w:r>
            <w:r>
              <w:rPr>
                <w:rFonts w:hint="eastAsia"/>
              </w:rPr>
              <w:t>西藏自治区住房和城乡建设厅</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466"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r>
              <w:t>2</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资金来源</w:t>
            </w:r>
          </w:p>
        </w:tc>
        <w:tc>
          <w:tcPr>
            <w:tcW w:w="59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财政</w:t>
            </w:r>
            <w:r>
              <w:t>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65"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r>
              <w:t>3</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最高限制单价</w:t>
            </w:r>
          </w:p>
        </w:tc>
        <w:tc>
          <w:tcPr>
            <w:tcW w:w="59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default"/>
                <w:lang w:val="en-US" w:eastAsia="zh-CN"/>
              </w:rPr>
            </w:pPr>
            <w:r>
              <w:rPr>
                <w:rFonts w:hint="eastAsia"/>
                <w:lang w:val="en-US" w:eastAsia="zh-CN"/>
              </w:rPr>
              <w:t>材料价格</w:t>
            </w:r>
            <w:r>
              <w:rPr>
                <w:rFonts w:hint="default"/>
                <w:lang w:val="en-US" w:eastAsia="zh-CN"/>
              </w:rPr>
              <w:t>以材料</w:t>
            </w:r>
            <w:r>
              <w:rPr>
                <w:rFonts w:hint="eastAsia"/>
                <w:lang w:val="en-US" w:eastAsia="zh-CN"/>
              </w:rPr>
              <w:t>为准，不另报价。工时费以采购人每月随机考察的拉萨市范围内的三家及以上的修理厂的工时费的平均价为基准，按百分比折扣率进行报价。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827"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r>
              <w:t>4</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是否接受联合体投标</w:t>
            </w:r>
          </w:p>
        </w:tc>
        <w:tc>
          <w:tcPr>
            <w:tcW w:w="59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☑不接受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54"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r>
              <w:t>5</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投标有效期</w:t>
            </w:r>
          </w:p>
        </w:tc>
        <w:tc>
          <w:tcPr>
            <w:tcW w:w="59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自投标截止之日起 90 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65"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r>
              <w:t>6</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框架协议方式</w:t>
            </w:r>
          </w:p>
        </w:tc>
        <w:tc>
          <w:tcPr>
            <w:tcW w:w="59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封闭式框架协议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50"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r>
              <w:t>7</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履约保证金</w:t>
            </w:r>
          </w:p>
        </w:tc>
        <w:tc>
          <w:tcPr>
            <w:tcW w:w="59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不需要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54"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r>
              <w:t>8</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投标保证金</w:t>
            </w:r>
          </w:p>
        </w:tc>
        <w:tc>
          <w:tcPr>
            <w:tcW w:w="59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default"/>
                <w:lang w:val="en-US" w:eastAsia="zh-CN"/>
              </w:rPr>
            </w:pPr>
            <w:r>
              <w:rPr>
                <w:rFonts w:hint="eastAsia"/>
                <w:lang w:val="en-US" w:eastAsia="zh-CN"/>
              </w:rPr>
              <w:t>不要求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827"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r>
              <w:t>9</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采购代理服务费支付</w:t>
            </w:r>
          </w:p>
        </w:tc>
        <w:tc>
          <w:tcPr>
            <w:tcW w:w="59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无需支付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841"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pPr>
            <w:r>
              <w:t>10</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构成征集文件的其他材料</w:t>
            </w:r>
          </w:p>
        </w:tc>
        <w:tc>
          <w:tcPr>
            <w:tcW w:w="59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征集人依法对征集文件所作的澄清和修改，构成征集文件的组成部分。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827" w:hRule="atLeast"/>
        </w:trPr>
        <w:tc>
          <w:tcPr>
            <w:tcW w:w="746"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lang w:val="en-US" w:eastAsia="en-US"/>
              </w:rPr>
            </w:pPr>
            <w:r>
              <w:t>11</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征集文件的询问和答复</w:t>
            </w:r>
          </w:p>
        </w:tc>
        <w:tc>
          <w:tcPr>
            <w:tcW w:w="59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1. 询问以书面形式提交至</w:t>
            </w:r>
            <w:r>
              <w:rPr>
                <w:rFonts w:hint="eastAsia"/>
                <w:lang w:val="en-US" w:eastAsia="zh-CN"/>
              </w:rPr>
              <w:t>采购人</w:t>
            </w:r>
            <w:r>
              <w:t>。</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lang w:val="en-US" w:eastAsia="zh-CN"/>
              </w:rPr>
            </w:pPr>
            <w:r>
              <w:t xml:space="preserve">2. </w:t>
            </w:r>
            <w:r>
              <w:rPr>
                <w:rFonts w:hint="eastAsia"/>
                <w:lang w:val="en-US" w:eastAsia="zh-CN"/>
              </w:rPr>
              <w:t>采购人</w:t>
            </w:r>
            <w:r>
              <w:t>在 3 个工作日内作出书面答复</w:t>
            </w:r>
            <w:r>
              <w:rPr>
                <w:rFonts w:hint="eastAsia"/>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65" w:hRule="atLeast"/>
        </w:trPr>
        <w:tc>
          <w:tcPr>
            <w:tcW w:w="746"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12</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征集文件的质疑</w:t>
            </w:r>
          </w:p>
        </w:tc>
        <w:tc>
          <w:tcPr>
            <w:tcW w:w="59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征集公告公告期限届满之日起</w:t>
            </w:r>
            <w:r>
              <w:rPr>
                <w:rFonts w:hint="eastAsia"/>
                <w:lang w:val="en-US" w:eastAsia="zh-CN"/>
              </w:rPr>
              <w:t>3</w:t>
            </w:r>
            <w:r>
              <w:t xml:space="preserve"> 个工作日内提出。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841"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13</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是否允许递交备选响应方案</w:t>
            </w:r>
          </w:p>
        </w:tc>
        <w:tc>
          <w:tcPr>
            <w:tcW w:w="59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65"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14</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响应报价的次数</w:t>
            </w:r>
          </w:p>
        </w:tc>
        <w:tc>
          <w:tcPr>
            <w:tcW w:w="59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本次响应报价为一次</w:t>
            </w:r>
            <w:r>
              <w:rPr>
                <w:rFonts w:hint="eastAsia"/>
                <w:lang w:eastAsia="zh-CN"/>
              </w:rPr>
              <w:t>，</w:t>
            </w:r>
            <w:r>
              <w:t>不得更改报价，供应商只有一次报价的机会。响应报价（即开标报价）不得有选择性报价和附有条件的报价，且不得高于预算金额或最高限价。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90"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15</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第二阶段成交供应商的最高限价</w:t>
            </w:r>
          </w:p>
        </w:tc>
        <w:tc>
          <w:tcPr>
            <w:tcW w:w="59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lang w:val="en-US" w:eastAsia="zh-CN"/>
              </w:rPr>
            </w:pPr>
            <w:r>
              <w:t>供应商第一阶段响应报价是征集人或者服务对象确定第二阶</w:t>
            </w:r>
            <w:r>
              <w:rPr>
                <w:rFonts w:hint="eastAsia"/>
                <w:lang w:eastAsia="zh-CN"/>
              </w:rPr>
              <w:t>段成交</w:t>
            </w:r>
            <w:r>
              <w:t>供应商的最高限价。</w:t>
            </w:r>
            <w:r>
              <w:rPr>
                <w:b/>
                <w:bCs/>
              </w:rPr>
              <w:t>采购人能够证明以更低价格向非入围供应商采购相同货物，且入围供应商不同意将价格降的，</w:t>
            </w:r>
            <w:r>
              <w:rPr>
                <w:rFonts w:hint="eastAsia"/>
                <w:b/>
                <w:bCs/>
                <w:lang w:eastAsia="zh-CN"/>
              </w:rPr>
              <w:t>采购人</w:t>
            </w:r>
            <w:r>
              <w:rPr>
                <w:b/>
                <w:bCs/>
              </w:rPr>
              <w:t>可以将合同授予</w:t>
            </w:r>
            <w:r>
              <w:rPr>
                <w:rFonts w:hint="eastAsia"/>
                <w:b/>
                <w:bCs/>
                <w:lang w:eastAsia="zh-CN"/>
              </w:rPr>
              <w:t>另一家</w:t>
            </w:r>
            <w:r>
              <w:rPr>
                <w:b/>
                <w:bCs/>
              </w:rPr>
              <w:t>入围</w:t>
            </w:r>
            <w:r>
              <w:rPr>
                <w:rFonts w:hint="eastAsia"/>
                <w:b/>
                <w:bCs/>
                <w:lang w:eastAsia="zh-CN"/>
              </w:rPr>
              <w:t>供应商。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80"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16</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面向中小企业预留情况及小微企业报价扣除标准</w:t>
            </w:r>
          </w:p>
        </w:tc>
        <w:tc>
          <w:tcPr>
            <w:tcW w:w="5904"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rPr>
                <w:rFonts w:hint="eastAsia"/>
                <w:lang w:val="en-US" w:eastAsia="en-US"/>
              </w:rPr>
              <w:t>本次采购执行《政府采购促进中小企业发展管理办法》（财库〔2020〕46号）、《关于政府采购支持监狱企业发展有关问题的通知》（财库[2014]68号）、《关于促进残疾人就业政府采购政策的通知》（财库[2017]141号）政策，对小型、微型、监狱企业、残疾人福利性单位的服务价格给予10%的价格扣除，以扣除后的价格参与评审。本项目不属于专门面向中小（小微）企业采购的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80"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17</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采购标的对应的中小企业划分标准所属行业</w:t>
            </w:r>
          </w:p>
        </w:tc>
        <w:tc>
          <w:tcPr>
            <w:tcW w:w="5904"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default"/>
                <w:lang w:val="en-US" w:eastAsia="en-US"/>
              </w:rPr>
            </w:pPr>
            <w:r>
              <w:t>中小企业划分标准依据《工业和信息化部、国家统计局、国家发展和改革委员会、财政部关于印发中小企业划型标准规定的通知》（工信部联企业〔2011〕300 号）规定。本项目采购标的对应的中小企业划分标准所属行业为：</w:t>
            </w:r>
            <w:r>
              <w:rPr>
                <w:rFonts w:hint="eastAsia"/>
                <w:lang w:val="en-US" w:eastAsia="zh-CN"/>
              </w:rPr>
              <w:t>制造业（工业）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80"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18</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进口产品</w:t>
            </w:r>
          </w:p>
        </w:tc>
        <w:tc>
          <w:tcPr>
            <w:tcW w:w="5904"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default"/>
                <w:lang w:val="en-US" w:eastAsia="en-US"/>
              </w:rPr>
            </w:pPr>
            <w: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80"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19</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文件编制</w:t>
            </w:r>
          </w:p>
        </w:tc>
        <w:tc>
          <w:tcPr>
            <w:tcW w:w="5904"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lang w:val="en-US" w:eastAsia="zh-CN"/>
              </w:rPr>
            </w:pPr>
            <w:r>
              <w:rPr>
                <w:rFonts w:hint="eastAsia"/>
                <w:lang w:val="en-US" w:eastAsia="zh-CN"/>
              </w:rPr>
              <w:t>（1）投标人可以对投标文件格式进行扩展，但不得对投标文件格式中已要求的内容进行删减。</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lang w:val="en-US" w:eastAsia="zh-CN"/>
              </w:rPr>
            </w:pPr>
            <w:r>
              <w:rPr>
                <w:rFonts w:hint="eastAsia"/>
                <w:lang w:val="en-US" w:eastAsia="zh-CN"/>
              </w:rPr>
              <w:t>（2）投标文件中的证明、证件及附件等的复制件应集中紧附在相应正文内容后面，并尽量与前面正文部分的顺序相对应。修改的投标文件的装订也应按本要求办理。</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lang w:val="en-US" w:eastAsia="zh-CN"/>
              </w:rPr>
            </w:pPr>
            <w:r>
              <w:rPr>
                <w:rFonts w:hint="eastAsia"/>
                <w:lang w:val="en-US" w:eastAsia="zh-CN"/>
              </w:rPr>
              <w:t>（3）投标人可以在格式内容之外另行说明和增加相关内容，作为投标文件的组成部分。另行说明或自行增加的内容、以及按投标文件格式在空格（下划线）由投标人填写的内容，不得与投标文件的强制性审查标准和禁止性规定相抵触。</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lang w:val="en-US" w:eastAsia="zh-CN"/>
              </w:rPr>
            </w:pPr>
            <w:r>
              <w:rPr>
                <w:rFonts w:hint="eastAsia"/>
                <w:lang w:val="en-US" w:eastAsia="zh-CN"/>
              </w:rPr>
              <w:t>（4）按投标文件格式在空格（下划线）由投标人填写的内容，确实没有需要填写的，可以在空格中用“/”标示，也可以不填（空白）。</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default"/>
                <w:lang w:val="en-US" w:eastAsia="en-US"/>
              </w:rPr>
            </w:pPr>
            <w:r>
              <w:rPr>
                <w:rFonts w:hint="eastAsia"/>
                <w:lang w:val="en-US" w:eastAsia="zh-CN"/>
              </w:rPr>
              <w:t>（5）投标文件应对招标文件提出的所有实质性要求和条件作出实质性响应，并且实质性响应的内容不得互相矛盾。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80" w:hRule="atLeast"/>
        </w:trPr>
        <w:tc>
          <w:tcPr>
            <w:tcW w:w="746"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20</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投标文件盖章签署</w:t>
            </w:r>
          </w:p>
        </w:tc>
        <w:tc>
          <w:tcPr>
            <w:tcW w:w="5904"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rPr>
            </w:pPr>
            <w:r>
              <w:rPr>
                <w:rFonts w:hint="eastAsia"/>
              </w:rPr>
              <w:t>（1）所有要求签字的地方都应由法定代表人或其委托代理人亲笔手写签字。</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rPr>
            </w:pPr>
            <w:r>
              <w:rPr>
                <w:rFonts w:hint="eastAsia"/>
              </w:rPr>
              <w:t>（2）所有要求盖章的地方都应加盖供应商单位（法定名称）章（鲜章），不得使用专用印章（如经济合同章、投标专用章等）或下属单位印章代替。</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rPr>
            </w:pPr>
            <w:r>
              <w:rPr>
                <w:rFonts w:hint="eastAsia"/>
              </w:rPr>
              <w:t>（3）</w:t>
            </w:r>
            <w:r>
              <w:rPr>
                <w:rFonts w:hint="eastAsia"/>
                <w:lang w:eastAsia="zh-CN"/>
              </w:rPr>
              <w:t>响应文件</w:t>
            </w:r>
            <w:r>
              <w:rPr>
                <w:rFonts w:hint="eastAsia"/>
              </w:rPr>
              <w:t>格式中要求供应商“法定代表人或其委托代理人”签字的，如法定代表人亲自参与投标而不委托代理人参与投标的，由法定代表人签字；如法定代表人授权委托代理人投标，由委托代理人签字，也可由法定代表人签字。</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lang w:val="en-US" w:eastAsia="zh-CN"/>
              </w:rPr>
            </w:pPr>
            <w:r>
              <w:rPr>
                <w:rFonts w:hint="eastAsia"/>
              </w:rPr>
              <w:t>（4）电子光盘应在非读物面注明项目名称、编号及供应商名称，并加盖公章（纸条粘贴在非读物面后在纸条上加盖公章）。</w:t>
            </w:r>
            <w:r>
              <w:t>投标文件所有要求法定代表人或其授权代理人签字的，</w:t>
            </w:r>
            <w:r>
              <w:rPr>
                <w:rFonts w:hint="eastAsia"/>
                <w:lang w:val="en-US" w:eastAsia="zh-CN"/>
              </w:rPr>
              <w:t>应由法定代表人签字或盖章。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80" w:hRule="atLeast"/>
        </w:trPr>
        <w:tc>
          <w:tcPr>
            <w:tcW w:w="74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rPr>
                <w:rFonts w:hint="eastAsia"/>
              </w:rPr>
              <w:t>投标文件的装订及密封</w:t>
            </w:r>
          </w:p>
        </w:tc>
        <w:tc>
          <w:tcPr>
            <w:tcW w:w="5904"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rPr>
            </w:pPr>
            <w:r>
              <w:rPr>
                <w:rFonts w:hint="eastAsia"/>
              </w:rPr>
              <w:t>1、</w:t>
            </w:r>
            <w:r>
              <w:rPr>
                <w:rFonts w:hint="eastAsia"/>
                <w:lang w:val="en-US" w:eastAsia="zh-CN"/>
              </w:rPr>
              <w:t>投标</w:t>
            </w:r>
            <w:r>
              <w:rPr>
                <w:rFonts w:hint="eastAsia"/>
              </w:rPr>
              <w:t>文件的正本和副本一律用A4复印纸(图、表及证件可以除外)编制和复制。</w:t>
            </w:r>
            <w:r>
              <w:rPr>
                <w:rFonts w:hint="eastAsia"/>
                <w:lang w:eastAsia="zh-CN"/>
              </w:rPr>
              <w:t>响应文件</w:t>
            </w:r>
            <w:r>
              <w:rPr>
                <w:rFonts w:hint="eastAsia"/>
              </w:rPr>
              <w:t>的正本和副本应采用无线胶装方式左侧装订，不得采用活页夹等可随时拆换的方式装订，不得有零散页。</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rPr>
            </w:pPr>
            <w:r>
              <w:rPr>
                <w:rFonts w:hint="eastAsia"/>
              </w:rPr>
              <w:t>2、</w:t>
            </w:r>
            <w:r>
              <w:rPr>
                <w:rFonts w:hint="eastAsia"/>
                <w:lang w:val="en-US" w:eastAsia="zh-CN"/>
              </w:rPr>
              <w:t>投标</w:t>
            </w:r>
            <w:r>
              <w:rPr>
                <w:rFonts w:hint="eastAsia"/>
                <w:lang w:eastAsia="zh-CN"/>
              </w:rPr>
              <w:t>文件</w:t>
            </w:r>
            <w:r>
              <w:rPr>
                <w:rFonts w:hint="eastAsia"/>
              </w:rPr>
              <w:t>应严格按照第</w:t>
            </w:r>
            <w:r>
              <w:rPr>
                <w:rFonts w:hint="eastAsia"/>
                <w:lang w:val="en-US" w:eastAsia="zh-CN"/>
              </w:rPr>
              <w:t>五</w:t>
            </w:r>
            <w:r>
              <w:rPr>
                <w:rFonts w:hint="eastAsia"/>
              </w:rPr>
              <w:t>章“</w:t>
            </w:r>
            <w:r>
              <w:rPr>
                <w:rFonts w:hint="eastAsia"/>
                <w:lang w:val="en-US" w:eastAsia="zh-CN"/>
              </w:rPr>
              <w:t>投标</w:t>
            </w:r>
            <w:r>
              <w:rPr>
                <w:rFonts w:hint="eastAsia"/>
                <w:lang w:eastAsia="zh-CN"/>
              </w:rPr>
              <w:t>文件</w:t>
            </w:r>
            <w:r>
              <w:rPr>
                <w:rFonts w:hint="eastAsia"/>
              </w:rPr>
              <w:t>格式”中的目录次序装订；若同一册的内容较多，可装订成若干分册，并在封面标明次序及册数。</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rPr>
            </w:pPr>
            <w:r>
              <w:rPr>
                <w:rFonts w:hint="eastAsia"/>
              </w:rPr>
              <w:t>3、</w:t>
            </w:r>
            <w:r>
              <w:rPr>
                <w:rFonts w:hint="eastAsia"/>
                <w:lang w:val="en-US" w:eastAsia="zh-CN"/>
              </w:rPr>
              <w:t>投标文件正本一份、副本一份。投标</w:t>
            </w:r>
            <w:r>
              <w:rPr>
                <w:rFonts w:hint="eastAsia"/>
                <w:lang w:eastAsia="zh-CN"/>
              </w:rPr>
              <w:t>文件</w:t>
            </w:r>
            <w:r>
              <w:rPr>
                <w:rFonts w:hint="eastAsia"/>
              </w:rPr>
              <w:t>的正本和副本应加盖骑缝章并分开包装，正本一个包装，副本一个包装，电子光盘与</w:t>
            </w:r>
            <w:r>
              <w:rPr>
                <w:rFonts w:hint="eastAsia"/>
                <w:lang w:val="en-US" w:eastAsia="zh-CN"/>
              </w:rPr>
              <w:t>开标</w:t>
            </w:r>
            <w:r>
              <w:rPr>
                <w:rFonts w:hint="eastAsia"/>
              </w:rPr>
              <w:t>一览表一起封装一个包装。</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rPr>
            </w:pPr>
            <w:r>
              <w:rPr>
                <w:rFonts w:hint="eastAsia"/>
              </w:rPr>
              <w:t>4、每一个包装都应在其封套的封口处加贴封条，在封套的封口处加盖供应商单位章(鲜章)并由其法定代表人或委托人签字，不按要求密封的</w:t>
            </w:r>
            <w:r>
              <w:rPr>
                <w:rFonts w:hint="eastAsia"/>
                <w:lang w:eastAsia="zh-CN"/>
              </w:rPr>
              <w:t>响应文件</w:t>
            </w:r>
            <w:r>
              <w:rPr>
                <w:rFonts w:hint="eastAsia"/>
              </w:rPr>
              <w:t>将被拒绝。</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rPr>
            </w:pPr>
            <w:r>
              <w:rPr>
                <w:rFonts w:hint="eastAsia"/>
              </w:rPr>
              <w:t>封套上写明</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rPr>
            </w:pPr>
            <w:r>
              <w:rPr>
                <w:rFonts w:hint="eastAsia"/>
              </w:rPr>
              <w:t xml:space="preserve">采购人名称：　　　　　      </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rPr>
            </w:pPr>
            <w:r>
              <w:rPr>
                <w:rFonts w:hint="eastAsia"/>
              </w:rPr>
              <w:t xml:space="preserve">采购人地址：　　　　　            </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rPr>
            </w:pPr>
            <w:r>
              <w:rPr>
                <w:rFonts w:hint="eastAsia"/>
              </w:rPr>
              <w:t>供应商名称：　　　　　</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rPr>
            </w:pPr>
            <w:r>
              <w:rPr>
                <w:rFonts w:hint="eastAsia"/>
              </w:rPr>
              <w:t>供应商地址：　　　　　</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rPr>
            </w:pPr>
            <w:r>
              <w:rPr>
                <w:rFonts w:hint="eastAsia"/>
              </w:rPr>
              <w:t xml:space="preserve">   （项目名称） </w:t>
            </w:r>
            <w:r>
              <w:rPr>
                <w:rFonts w:hint="eastAsia"/>
                <w:lang w:eastAsia="zh-CN"/>
              </w:rPr>
              <w:t>响应文件</w:t>
            </w:r>
            <w:r>
              <w:rPr>
                <w:rFonts w:hint="eastAsia"/>
              </w:rPr>
              <w:t xml:space="preserve">正本/副本/响应一览表 </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rPr>
                <w:rFonts w:hint="eastAsia"/>
              </w:rPr>
              <w:t>在    年    月    日    时 　  分前不得开启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80"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21</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开启时间及地点</w:t>
            </w:r>
          </w:p>
        </w:tc>
        <w:tc>
          <w:tcPr>
            <w:tcW w:w="5904"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lang w:val="en-US" w:eastAsia="zh-CN"/>
              </w:rPr>
            </w:pPr>
            <w:r>
              <w:t>详见征集公告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80"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22</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递交投标文件截止时间</w:t>
            </w:r>
          </w:p>
        </w:tc>
        <w:tc>
          <w:tcPr>
            <w:tcW w:w="5904"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lang w:val="en-US" w:eastAsia="zh-CN"/>
              </w:rPr>
            </w:pPr>
            <w:r>
              <w:t>详见征集公告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90"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23</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评审小组组成</w:t>
            </w:r>
          </w:p>
        </w:tc>
        <w:tc>
          <w:tcPr>
            <w:tcW w:w="5904"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lang w:val="en-US" w:eastAsia="zh-CN"/>
              </w:rPr>
            </w:pPr>
            <w:r>
              <w:t xml:space="preserve">评审小组共 </w:t>
            </w:r>
            <w:r>
              <w:rPr>
                <w:rFonts w:hint="eastAsia"/>
                <w:lang w:val="en-US" w:eastAsia="zh-CN"/>
              </w:rPr>
              <w:t>3</w:t>
            </w:r>
            <w:r>
              <w:t>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1918"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24</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确定第一阶段入围供应商的评审方法</w:t>
            </w:r>
          </w:p>
        </w:tc>
        <w:tc>
          <w:tcPr>
            <w:tcW w:w="5904"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☑质量优先法</w:t>
            </w:r>
            <w:r>
              <w:rPr>
                <w:rFonts w:hint="eastAsia"/>
                <w:lang w:eastAsia="zh-CN"/>
              </w:rPr>
              <w:t>：</w:t>
            </w:r>
            <w:r>
              <w:t>第一阶段入围供应商评审方法：采用质量优先法进行评审。</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lang w:val="en-US" w:eastAsia="zh-CN"/>
              </w:rPr>
            </w:pPr>
            <w:r>
              <w:t>质量优先法是指对满足采购需求且响应报价不超过最</w:t>
            </w:r>
            <w:r>
              <w:rPr>
                <w:rFonts w:hint="eastAsia"/>
                <w:lang w:eastAsia="zh-CN"/>
              </w:rPr>
              <w:t>高</w:t>
            </w:r>
            <w:r>
              <w:t>限制单价的货物、服务进行质量综合评分，按照质量评分从</w:t>
            </w:r>
            <w:r>
              <w:rPr>
                <w:rFonts w:hint="eastAsia"/>
                <w:lang w:eastAsia="zh-CN"/>
              </w:rPr>
              <w:t>高</w:t>
            </w:r>
            <w:r>
              <w:t>到低排序，根据征集文件规定的淘汰率或者入围供应商数量上限，确定入围供应商的评审方法。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80"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25</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确定第一阶段入围供应商方式</w:t>
            </w:r>
          </w:p>
        </w:tc>
        <w:tc>
          <w:tcPr>
            <w:tcW w:w="5904"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一、根据《政府采购框架协议采购方式管理暂行办法》确定第一阶段入围供应商时，淘汰比例为20%，且至少淘汰一家供应商。如提交投标文件和符合资格条件实质性要求的供应商</w:t>
            </w:r>
            <w:r>
              <w:rPr>
                <w:rFonts w:hint="eastAsia"/>
                <w:lang w:eastAsia="zh-CN"/>
              </w:rPr>
              <w:t>底</w:t>
            </w:r>
            <w:r>
              <w:t>于2家，则重新组织采购活动；</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二、确定第一阶段入围供应商数量上限为</w:t>
            </w:r>
            <w:r>
              <w:rPr>
                <w:rFonts w:hint="eastAsia"/>
                <w:lang w:val="en-US" w:eastAsia="zh-CN"/>
              </w:rPr>
              <w:t>3</w:t>
            </w:r>
            <w:r>
              <w:t>家</w:t>
            </w:r>
            <w:r>
              <w:rPr>
                <w:rFonts w:hint="eastAsia"/>
                <w:lang w:eastAsia="zh-CN"/>
              </w:rPr>
              <w:t>；</w:t>
            </w:r>
            <w:r>
              <w:t>提交</w:t>
            </w:r>
            <w:r>
              <w:rPr>
                <w:rFonts w:hint="eastAsia"/>
                <w:lang w:eastAsia="zh-CN"/>
              </w:rPr>
              <w:t>响应文件</w:t>
            </w:r>
            <w:r>
              <w:t>和符合资格条件、实质性要求的供应商应当均</w:t>
            </w:r>
            <w:r>
              <w:rPr>
                <w:rFonts w:hint="eastAsia"/>
                <w:lang w:eastAsia="zh-CN"/>
              </w:rPr>
              <w:t>底</w:t>
            </w:r>
            <w:r>
              <w:t>于</w:t>
            </w:r>
            <w:r>
              <w:rPr>
                <w:rFonts w:hint="eastAsia"/>
                <w:lang w:val="en-US" w:eastAsia="zh-CN"/>
              </w:rPr>
              <w:t>3</w:t>
            </w:r>
            <w:r>
              <w:t>家，淘汰比例一般不得低于20%，</w:t>
            </w:r>
            <w:r>
              <w:rPr>
                <w:rFonts w:hint="eastAsia"/>
                <w:lang w:eastAsia="zh-CN"/>
              </w:rPr>
              <w:t>第一阶段结束后</w:t>
            </w:r>
            <w:r>
              <w:t>且至少淘汰一家供应商，如满足淘汰比例后入围家数未达到各包入围家数上限，则全部入围。 （例如</w:t>
            </w:r>
            <w:r>
              <w:rPr>
                <w:rFonts w:hint="eastAsia"/>
                <w:lang w:eastAsia="zh-CN"/>
              </w:rPr>
              <w:t>；</w:t>
            </w:r>
            <w:r>
              <w:t>需要选取10家供应商入围，如20家供应商通过资格和符合性审查，按20%淘汰比例应该淘汰4家，剩余16家供应商按照得分排序，取前10家为入围供应商；如11家供应商通过资格和符合性审查，按20%淘汰比例应该淘汰2.2 家，向上取整后淘汰3家，剩余9家则均为入围供应商；需取3家供应商入围，如3家供应商通过资格和符合性审查，淘汰比例应该淘汰0.6 家，向上取整后淘汰1家，剩余2</w:t>
            </w:r>
            <w:r>
              <w:rPr>
                <w:rFonts w:hint="eastAsia"/>
                <w:lang w:eastAsia="zh-CN"/>
              </w:rPr>
              <w:t>家</w:t>
            </w:r>
            <w:r>
              <w:t>均为入围供应商。）</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三、最终按评审后得分由高到低的排列顺序，推荐综合得分排名靠前的供应商为本项目入围候选人。</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得分相同情况说明：</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1、综合得分相同的，按响应报价由低到高顺序排列入围供应商。</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2、得分且响应报价相同并列的,按照技术指标优劣指标评审得分由高到低顺序排列入围供应商。</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3、得分和技术指标相同的，按照商务要求的得分情况由高到低顺序排列入围供应商。</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4、若以上都相同，由评标委员会采取现场抽签形式，按照递交投标文件的先后顺序排序，进行随机抽取，按照抽取排序的先后顺序形成入围候选人的排名顺序。</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注：供应商总得分为商务、技术等评定因素分别按照相应权重值计算分项得分后相加，满分为 100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26</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确定第二阶段成交供应商方式</w:t>
            </w:r>
          </w:p>
        </w:tc>
        <w:tc>
          <w:tcPr>
            <w:tcW w:w="5909" w:type="dxa"/>
            <w:gridSpan w:val="2"/>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lang w:val="en-US" w:eastAsia="zh-CN"/>
              </w:rPr>
            </w:pPr>
            <w:r>
              <w:t>由采购人依据入围产品质量以及服务便利性、用户评价等因素，从第一阶段入围供应商中</w:t>
            </w:r>
            <w:r>
              <w:rPr>
                <w:rFonts w:hint="eastAsia"/>
                <w:lang w:eastAsia="zh-CN"/>
              </w:rPr>
              <w:t>通过二次竞价报下浮率方式确定供应商。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746"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27</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框架协议签订</w:t>
            </w:r>
          </w:p>
        </w:tc>
        <w:tc>
          <w:tcPr>
            <w:tcW w:w="5909" w:type="dxa"/>
            <w:gridSpan w:val="2"/>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征集人应当在入围通知书发出之日起 30日内和入围供应商签订框架协议。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28</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第二阶段成交供应商的最高限价</w:t>
            </w:r>
          </w:p>
        </w:tc>
        <w:tc>
          <w:tcPr>
            <w:tcW w:w="5909" w:type="dxa"/>
            <w:gridSpan w:val="2"/>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入围供应商第一阶段响应报价是征集人或者服务对象确定第二阶段成交供应商的最高限价。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29</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偏差</w:t>
            </w:r>
          </w:p>
        </w:tc>
        <w:tc>
          <w:tcPr>
            <w:tcW w:w="5909" w:type="dxa"/>
            <w:gridSpan w:val="2"/>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 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74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30</w:t>
            </w:r>
          </w:p>
        </w:tc>
        <w:tc>
          <w:tcPr>
            <w:tcW w:w="1709"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rPr>
                <w:rFonts w:hint="eastAsia"/>
              </w:rPr>
              <w:t>入围供应商清退和补充规则</w:t>
            </w:r>
          </w:p>
        </w:tc>
        <w:tc>
          <w:tcPr>
            <w:tcW w:w="5909" w:type="dxa"/>
            <w:gridSpan w:val="2"/>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入围供应商有下列情形之一，尚未签订框架协议的，取消其入围资格；已经签订框架协议的，解除与其签订的框架协议：</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1.入围供应商清退原则：</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(1)恶意串通谋取入围或者合同成交的；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(2)提供虚假材料谋取入围或者合同成交的；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(3)无正当理由拒不接受合同授予的；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(4)不履行合同义务或者履行合同义务不符合约定， 经征集人请求履行后仍不履行或者仍未按约定履行的；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(5)框架协议有效期内，因违法行为被禁止或限制参加采购活动的；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(6)框架协议约定的其他情形；</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(7)供应商的服务两次（含）以上综合评价差的。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(8）入围供应商实质性违反采购合同约定的；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(9）在协议有效期内，入围供应商资质吊销或注销的；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(10)入围供应商泄漏采购人的秘密或与第三方串通损害采购人利益的；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(11)采购人针对项目质量有权提出要求，由于入围供应商原因，提供产品质量或服务不合格的；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(12)入围供应商与采购人私下交易，行贿等违纪行为经查实的；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(13)入围供应商遇到争议问题时，不接受相关部门调解意见的；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(14)入围供应商采用不正当竞争手段争揽业务，引起投诉并经查实的；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(15)入围供应商多次被采购人投诉，用户反馈和评价机制不合格的；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(16)在协议有效期内，被行业主管部门或政府其他职能部门赋予行政处罚的；</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(17)征集人或监管部门认为其他应当予以清退的情形;</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(18)法律法规不允许出现的其他情形。</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被取消入围资格或者被解除框架协议的供应商不得参加同一封闭式框架协议补充征集，或者重新申请加入同一开放式框架协议。</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封闭式框架协议入围供应商无正当理由，不得主动放弃入围资格或者退出框架协议。</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rFonts w:hint="eastAsia"/>
                <w:lang w:eastAsia="zh-CN"/>
              </w:rPr>
            </w:pPr>
            <w:r>
              <w:t>2.入围供应商补充原则</w:t>
            </w:r>
            <w:r>
              <w:rPr>
                <w:rFonts w:hint="eastAsia"/>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(1)除剩余入围供应商不足入围供应商总数 70%且影响框架协议执行的情形外，框架有效期内，征集人不得补充征集供应商。（即剩余入围供应商:在框架协议有效期内，由于各种原因(如退出、履约失败、清退等因素)，剩余的供应商数量。</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pPr>
            <w:r>
              <w:t>条件:如果剩余供应商数量&lt;总入围供应商总数x70%，并且这种情况影响框架协议的执行，那么征集人可以补充征集供应商。例如:如果总供应商是10家，70%就是7家。剩余供应商不足7家时(即少于7家)，才可能触发补充征集的条件。 ）</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textAlignment w:val="baseline"/>
              <w:rPr>
                <w:lang w:val="en-US" w:eastAsia="en-US"/>
              </w:rPr>
            </w:pPr>
            <w:r>
              <w:t>(2)征集人补充征集供应商的，补充征集规则应当在框架协议中约定，补充征集的条件、程序、评审方法和淘汰比例应当与初次征集相同。补充征集应当遵守原框架协议的有效期。补充征集期间，原框架协议继续履行。</w:t>
            </w:r>
          </w:p>
        </w:tc>
      </w:tr>
    </w:tbl>
    <w:p>
      <w:pPr>
        <w:pageBreakBefore w:val="0"/>
        <w:wordWrap/>
        <w:overflowPunct/>
        <w:topLinePunct w:val="0"/>
        <w:bidi w:val="0"/>
        <w:spacing w:before="67" w:line="576" w:lineRule="exact"/>
        <w:ind w:left="640" w:leftChars="200"/>
        <w:jc w:val="left"/>
        <w:outlineLvl w:val="9"/>
      </w:pPr>
    </w:p>
    <w:p>
      <w:pPr>
        <w:pageBreakBefore w:val="0"/>
        <w:wordWrap/>
        <w:overflowPunct/>
        <w:bidi w:val="0"/>
        <w:spacing w:line="576" w:lineRule="exact"/>
        <w:rPr>
          <w:rFonts w:hint="eastAsia" w:ascii="仿宋" w:hAnsi="仿宋" w:eastAsia="仿宋" w:cs="仿宋"/>
          <w:lang w:val="en-US" w:eastAsia="zh-CN"/>
        </w:rPr>
      </w:pPr>
      <w:r>
        <w:rPr>
          <w:rFonts w:hint="eastAsia" w:ascii="仿宋" w:hAnsi="仿宋" w:eastAsia="仿宋" w:cs="仿宋"/>
          <w:lang w:val="en-US" w:eastAsia="zh-CN"/>
        </w:rPr>
        <w:br w:type="page"/>
      </w:r>
    </w:p>
    <w:p>
      <w:pPr>
        <w:pStyle w:val="2"/>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方正小标宋_GBK" w:hAnsi="方正小标宋_GBK" w:eastAsia="方正小标宋_GBK" w:cs="方正小标宋_GBK"/>
          <w:sz w:val="44"/>
          <w:szCs w:val="44"/>
        </w:rPr>
      </w:pPr>
      <w:bookmarkStart w:id="12" w:name="_Toc6007"/>
      <w:bookmarkStart w:id="13" w:name="_Toc20059"/>
      <w:r>
        <w:rPr>
          <w:rFonts w:hint="eastAsia" w:ascii="方正小标宋_GBK" w:hAnsi="方正小标宋_GBK" w:eastAsia="方正小标宋_GBK" w:cs="方正小标宋_GBK"/>
          <w:b/>
          <w:bCs/>
          <w:spacing w:val="-14"/>
          <w:sz w:val="44"/>
          <w:szCs w:val="44"/>
        </w:rPr>
        <w:t>第</w:t>
      </w:r>
      <w:r>
        <w:rPr>
          <w:rFonts w:hint="eastAsia" w:ascii="方正小标宋_GBK" w:hAnsi="方正小标宋_GBK" w:eastAsia="方正小标宋_GBK" w:cs="方正小标宋_GBK"/>
          <w:b/>
          <w:bCs/>
          <w:spacing w:val="-14"/>
          <w:sz w:val="44"/>
          <w:szCs w:val="44"/>
          <w:lang w:val="en-US" w:eastAsia="zh-CN"/>
        </w:rPr>
        <w:t>三</w:t>
      </w:r>
      <w:r>
        <w:rPr>
          <w:rFonts w:hint="eastAsia" w:ascii="方正小标宋_GBK" w:hAnsi="方正小标宋_GBK" w:eastAsia="方正小标宋_GBK" w:cs="方正小标宋_GBK"/>
          <w:b/>
          <w:bCs/>
          <w:spacing w:val="-14"/>
          <w:sz w:val="44"/>
          <w:szCs w:val="44"/>
        </w:rPr>
        <w:t>章</w:t>
      </w:r>
      <w:r>
        <w:rPr>
          <w:rFonts w:hint="eastAsia" w:ascii="方正小标宋_GBK" w:hAnsi="方正小标宋_GBK" w:eastAsia="方正小标宋_GBK" w:cs="方正小标宋_GBK"/>
          <w:spacing w:val="35"/>
          <w:sz w:val="44"/>
          <w:szCs w:val="44"/>
        </w:rPr>
        <w:t xml:space="preserve"> </w:t>
      </w:r>
      <w:r>
        <w:rPr>
          <w:rFonts w:hint="eastAsia" w:ascii="方正小标宋_GBK" w:hAnsi="方正小标宋_GBK" w:eastAsia="方正小标宋_GBK" w:cs="方正小标宋_GBK"/>
          <w:b/>
          <w:bCs/>
          <w:spacing w:val="-14"/>
          <w:sz w:val="44"/>
          <w:szCs w:val="44"/>
        </w:rPr>
        <w:t>采购需求</w:t>
      </w:r>
      <w:bookmarkEnd w:id="12"/>
      <w:bookmarkEnd w:id="13"/>
      <w:bookmarkStart w:id="14" w:name="bookmark80"/>
      <w:bookmarkEnd w:id="14"/>
    </w:p>
    <w:p>
      <w:pPr>
        <w:pStyle w:val="3"/>
        <w:pageBreakBefore w:val="0"/>
        <w:widowControl/>
        <w:kinsoku w:val="0"/>
        <w:wordWrap/>
        <w:overflowPunct/>
        <w:topLinePunct w:val="0"/>
        <w:autoSpaceDE w:val="0"/>
        <w:autoSpaceDN w:val="0"/>
        <w:bidi w:val="0"/>
        <w:adjustRightInd w:val="0"/>
        <w:snapToGrid w:val="0"/>
        <w:spacing w:line="576" w:lineRule="exact"/>
        <w:ind w:left="0" w:leftChars="0" w:firstLine="0" w:firstLineChars="0"/>
        <w:textAlignment w:val="baseline"/>
      </w:pPr>
      <w:bookmarkStart w:id="15" w:name="_Toc28614"/>
      <w:r>
        <w:t>一、采购项目基本信息</w:t>
      </w:r>
      <w:bookmarkEnd w:id="15"/>
    </w:p>
    <w:p>
      <w:pPr>
        <w:pageBreakBefore w:val="0"/>
        <w:widowControl/>
        <w:kinsoku w:val="0"/>
        <w:wordWrap/>
        <w:overflowPunct/>
        <w:topLinePunct w:val="0"/>
        <w:autoSpaceDE w:val="0"/>
        <w:autoSpaceDN w:val="0"/>
        <w:bidi w:val="0"/>
        <w:adjustRightInd w:val="0"/>
        <w:snapToGrid w:val="0"/>
        <w:spacing w:line="576" w:lineRule="exact"/>
        <w:textAlignment w:val="baseline"/>
      </w:pPr>
      <w:r>
        <w:t>项目名称：</w:t>
      </w:r>
      <w:r>
        <w:rPr>
          <w:rFonts w:hint="eastAsia"/>
        </w:rPr>
        <w:t>西藏自治区住房和城乡建设厅</w:t>
      </w:r>
      <w:r>
        <w:rPr>
          <w:rFonts w:hint="eastAsia"/>
          <w:lang w:eastAsia="zh-CN"/>
        </w:rPr>
        <w:t>机关</w:t>
      </w:r>
      <w:r>
        <w:rPr>
          <w:rFonts w:hint="eastAsia"/>
          <w:lang w:val="en-US" w:eastAsia="zh-CN"/>
        </w:rPr>
        <w:t>公务用车定点维修</w:t>
      </w:r>
    </w:p>
    <w:p>
      <w:pPr>
        <w:pageBreakBefore w:val="0"/>
        <w:widowControl/>
        <w:kinsoku w:val="0"/>
        <w:wordWrap/>
        <w:overflowPunct/>
        <w:topLinePunct w:val="0"/>
        <w:autoSpaceDE w:val="0"/>
        <w:autoSpaceDN w:val="0"/>
        <w:bidi w:val="0"/>
        <w:adjustRightInd w:val="0"/>
        <w:snapToGrid w:val="0"/>
        <w:spacing w:line="576" w:lineRule="exact"/>
        <w:textAlignment w:val="baseline"/>
      </w:pPr>
      <w:r>
        <w:t>采购方式：封闭式框架协议采购（质量优先法评审）</w:t>
      </w:r>
    </w:p>
    <w:p>
      <w:pPr>
        <w:pageBreakBefore w:val="0"/>
        <w:widowControl/>
        <w:kinsoku w:val="0"/>
        <w:wordWrap/>
        <w:overflowPunct/>
        <w:topLinePunct w:val="0"/>
        <w:autoSpaceDE w:val="0"/>
        <w:autoSpaceDN w:val="0"/>
        <w:bidi w:val="0"/>
        <w:adjustRightInd w:val="0"/>
        <w:snapToGrid w:val="0"/>
        <w:spacing w:line="576" w:lineRule="exact"/>
        <w:textAlignment w:val="baseline"/>
      </w:pPr>
      <w:r>
        <w:t>框架协议有效期：</w:t>
      </w:r>
      <w:r>
        <w:rPr>
          <w:rFonts w:hint="eastAsia"/>
          <w:lang w:val="en-US" w:eastAsia="zh-CN"/>
        </w:rPr>
        <w:t>2</w:t>
      </w:r>
      <w:r>
        <w:t xml:space="preserve"> 年（自协议签订之日起计算）</w:t>
      </w:r>
    </w:p>
    <w:p>
      <w:pPr>
        <w:pageBreakBefore w:val="0"/>
        <w:widowControl/>
        <w:kinsoku w:val="0"/>
        <w:wordWrap/>
        <w:overflowPunct/>
        <w:topLinePunct w:val="0"/>
        <w:autoSpaceDE w:val="0"/>
        <w:autoSpaceDN w:val="0"/>
        <w:bidi w:val="0"/>
        <w:adjustRightInd w:val="0"/>
        <w:snapToGrid w:val="0"/>
        <w:spacing w:line="576" w:lineRule="exact"/>
        <w:textAlignment w:val="baseline"/>
      </w:pPr>
      <w:r>
        <w:t>适用范围：</w:t>
      </w:r>
      <w:r>
        <w:rPr>
          <w:rFonts w:hint="eastAsia"/>
          <w:lang w:val="en-US" w:eastAsia="zh-CN"/>
        </w:rPr>
        <w:t>西藏自治区住建厅及厅机关</w:t>
      </w:r>
      <w:r>
        <w:t>公务用车（含轿车、越野车、客车等）</w:t>
      </w:r>
      <w:r>
        <w:rPr>
          <w:rFonts w:hint="eastAsia"/>
          <w:lang w:val="en-US" w:eastAsia="zh-CN"/>
        </w:rPr>
        <w:t>定点维修</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eastAsia="CESI仿宋-GB2312"/>
          <w:lang w:eastAsia="zh-CN"/>
        </w:rPr>
      </w:pPr>
      <w:r>
        <w:t>采购预算：按实际订单结算</w:t>
      </w:r>
      <w:r>
        <w:rPr>
          <w:rFonts w:hint="eastAsia"/>
          <w:lang w:eastAsia="zh-CN"/>
        </w:rPr>
        <w:t>，</w:t>
      </w:r>
      <w:r>
        <w:rPr>
          <w:rFonts w:hint="eastAsia"/>
          <w:lang w:val="en-US" w:eastAsia="zh-CN"/>
        </w:rPr>
        <w:t>不另报价。工时费以采购人每月随机考察的拉萨市范围内的三家及以上的修理厂的工时费的平均价为基准，在以折扣率进行二次报价后结算。</w:t>
      </w:r>
    </w:p>
    <w:p>
      <w:pPr>
        <w:pStyle w:val="3"/>
        <w:pageBreakBefore w:val="0"/>
        <w:widowControl/>
        <w:kinsoku w:val="0"/>
        <w:wordWrap/>
        <w:overflowPunct/>
        <w:topLinePunct w:val="0"/>
        <w:autoSpaceDE w:val="0"/>
        <w:autoSpaceDN w:val="0"/>
        <w:bidi w:val="0"/>
        <w:adjustRightInd w:val="0"/>
        <w:snapToGrid w:val="0"/>
        <w:spacing w:line="576" w:lineRule="exact"/>
        <w:ind w:left="0" w:leftChars="0" w:firstLine="0" w:firstLineChars="0"/>
        <w:textAlignment w:val="baseline"/>
      </w:pPr>
      <w:bookmarkStart w:id="16" w:name="_Toc5185"/>
      <w:r>
        <w:t>二、采购标的及技术参数要求</w:t>
      </w:r>
      <w:bookmarkEnd w:id="16"/>
    </w:p>
    <w:p>
      <w:pPr>
        <w:pageBreakBefore w:val="0"/>
        <w:widowControl/>
        <w:kinsoku w:val="0"/>
        <w:wordWrap/>
        <w:overflowPunct/>
        <w:topLinePunct w:val="0"/>
        <w:autoSpaceDE w:val="0"/>
        <w:autoSpaceDN w:val="0"/>
        <w:bidi w:val="0"/>
        <w:adjustRightInd w:val="0"/>
        <w:snapToGrid w:val="0"/>
        <w:spacing w:line="576" w:lineRule="exact"/>
        <w:textAlignment w:val="baseline"/>
      </w:pPr>
      <w:bookmarkStart w:id="17" w:name="_Toc25226"/>
      <w:r>
        <w:t>（一）维修服务范围</w:t>
      </w:r>
    </w:p>
    <w:p>
      <w:pPr>
        <w:pageBreakBefore w:val="0"/>
        <w:widowControl/>
        <w:kinsoku w:val="0"/>
        <w:wordWrap/>
        <w:overflowPunct/>
        <w:topLinePunct w:val="0"/>
        <w:autoSpaceDE w:val="0"/>
        <w:autoSpaceDN w:val="0"/>
        <w:bidi w:val="0"/>
        <w:adjustRightInd w:val="0"/>
        <w:snapToGrid w:val="0"/>
        <w:spacing w:line="576" w:lineRule="exact"/>
        <w:textAlignment w:val="baseline"/>
      </w:pPr>
      <w:r>
        <w:t>涵盖车辆常规保养（机油更换、滤芯更换等）、故障维修（发动机、变速箱、底盘等系统）、重大维修（大修、总成更换）、应急救援、年检协助、美容装饰等全品类服务，符合《机动车维修管理规定》（交通运输部令 2021 年第 18 号）要求。</w:t>
      </w:r>
    </w:p>
    <w:p>
      <w:pPr>
        <w:pageBreakBefore w:val="0"/>
        <w:widowControl/>
        <w:kinsoku w:val="0"/>
        <w:wordWrap/>
        <w:overflowPunct/>
        <w:topLinePunct w:val="0"/>
        <w:autoSpaceDE w:val="0"/>
        <w:autoSpaceDN w:val="0"/>
        <w:bidi w:val="0"/>
        <w:adjustRightInd w:val="0"/>
        <w:snapToGrid w:val="0"/>
        <w:spacing w:line="576" w:lineRule="exact"/>
        <w:textAlignment w:val="baseline"/>
      </w:pPr>
      <w:r>
        <w:t>（二）技术质量标准</w:t>
      </w:r>
    </w:p>
    <w:p>
      <w:pPr>
        <w:pageBreakBefore w:val="0"/>
        <w:widowControl/>
        <w:kinsoku w:val="0"/>
        <w:wordWrap/>
        <w:overflowPunct/>
        <w:topLinePunct w:val="0"/>
        <w:autoSpaceDE w:val="0"/>
        <w:autoSpaceDN w:val="0"/>
        <w:bidi w:val="0"/>
        <w:adjustRightInd w:val="0"/>
        <w:snapToGrid w:val="0"/>
        <w:spacing w:line="576" w:lineRule="exact"/>
        <w:textAlignment w:val="baseline"/>
      </w:pPr>
      <w:r>
        <w:t>维修技术需符合《汽车维修业开业条件》（GB/T 16739-2014）、《机动车运行安全技术条件》（GB 7258-2017）等国家及行业标准。</w:t>
      </w:r>
    </w:p>
    <w:p>
      <w:pPr>
        <w:pageBreakBefore w:val="0"/>
        <w:widowControl/>
        <w:kinsoku w:val="0"/>
        <w:wordWrap/>
        <w:overflowPunct/>
        <w:topLinePunct w:val="0"/>
        <w:autoSpaceDE w:val="0"/>
        <w:autoSpaceDN w:val="0"/>
        <w:bidi w:val="0"/>
        <w:adjustRightInd w:val="0"/>
        <w:snapToGrid w:val="0"/>
        <w:spacing w:line="576" w:lineRule="exact"/>
        <w:textAlignment w:val="baseline"/>
      </w:pPr>
      <w:r>
        <w:t>关键指标：故障诊断准确率≥98%，一次维修合格率≥95%，同故障返修率≤2%，维修及时率≥98%。</w:t>
      </w:r>
    </w:p>
    <w:p>
      <w:pPr>
        <w:pageBreakBefore w:val="0"/>
        <w:widowControl/>
        <w:kinsoku w:val="0"/>
        <w:wordWrap/>
        <w:overflowPunct/>
        <w:topLinePunct w:val="0"/>
        <w:autoSpaceDE w:val="0"/>
        <w:autoSpaceDN w:val="0"/>
        <w:bidi w:val="0"/>
        <w:adjustRightInd w:val="0"/>
        <w:snapToGrid w:val="0"/>
        <w:spacing w:line="576" w:lineRule="exact"/>
        <w:textAlignment w:val="baseline"/>
      </w:pPr>
      <w:r>
        <w:t>质保要求：大修质保期≥12 个月或 2.5 万公里，小修质保期≥12 个月或 2 万公里，免维护电池维修质保≥18 个月；同一故障两次维修仍无法正常使用的，由供应商承担后续全部维修费用。</w:t>
      </w:r>
    </w:p>
    <w:p>
      <w:pPr>
        <w:pageBreakBefore w:val="0"/>
        <w:widowControl/>
        <w:kinsoku w:val="0"/>
        <w:wordWrap/>
        <w:overflowPunct/>
        <w:topLinePunct w:val="0"/>
        <w:autoSpaceDE w:val="0"/>
        <w:autoSpaceDN w:val="0"/>
        <w:bidi w:val="0"/>
        <w:adjustRightInd w:val="0"/>
        <w:snapToGrid w:val="0"/>
        <w:spacing w:line="576" w:lineRule="exact"/>
        <w:textAlignment w:val="baseline"/>
      </w:pPr>
      <w:r>
        <w:t>（三）配件管理规范</w:t>
      </w:r>
    </w:p>
    <w:p>
      <w:pPr>
        <w:pageBreakBefore w:val="0"/>
        <w:widowControl/>
        <w:kinsoku w:val="0"/>
        <w:wordWrap/>
        <w:overflowPunct/>
        <w:topLinePunct w:val="0"/>
        <w:autoSpaceDE w:val="0"/>
        <w:autoSpaceDN w:val="0"/>
        <w:bidi w:val="0"/>
        <w:adjustRightInd w:val="0"/>
        <w:snapToGrid w:val="0"/>
        <w:spacing w:line="576" w:lineRule="exact"/>
        <w:textAlignment w:val="baseline"/>
      </w:pPr>
      <w:r>
        <w:t>维修配件需为原厂配件或符合国家质量标准的合格配件，提供合格证明及溯源码，严禁使用假冒伪劣产品。</w:t>
      </w:r>
    </w:p>
    <w:p>
      <w:pPr>
        <w:pageBreakBefore w:val="0"/>
        <w:widowControl/>
        <w:kinsoku w:val="0"/>
        <w:wordWrap/>
        <w:overflowPunct/>
        <w:topLinePunct w:val="0"/>
        <w:autoSpaceDE w:val="0"/>
        <w:autoSpaceDN w:val="0"/>
        <w:bidi w:val="0"/>
        <w:adjustRightInd w:val="0"/>
        <w:snapToGrid w:val="0"/>
        <w:spacing w:line="576" w:lineRule="exact"/>
        <w:textAlignment w:val="baseline"/>
      </w:pPr>
      <w:r>
        <w:t>建立配件溯源机制，对接汽车维修电子健康档案系统，实时上传配件采购记录、使用情况，确保采购人可查询溯源信息。</w:t>
      </w:r>
    </w:p>
    <w:p>
      <w:pPr>
        <w:pageBreakBefore w:val="0"/>
        <w:widowControl/>
        <w:kinsoku w:val="0"/>
        <w:wordWrap/>
        <w:overflowPunct/>
        <w:topLinePunct w:val="0"/>
        <w:autoSpaceDE w:val="0"/>
        <w:autoSpaceDN w:val="0"/>
        <w:bidi w:val="0"/>
        <w:adjustRightInd w:val="0"/>
        <w:snapToGrid w:val="0"/>
        <w:spacing w:line="576" w:lineRule="exact"/>
        <w:textAlignment w:val="baseline"/>
      </w:pPr>
      <w:r>
        <w:t>更换配件需履行 "旧件归还" 程序，经采购人确认后方可使用替代件或旧件，并在维修清单中明确标注。</w:t>
      </w:r>
    </w:p>
    <w:p>
      <w:pPr>
        <w:pageBreakBefore w:val="0"/>
        <w:widowControl/>
        <w:kinsoku w:val="0"/>
        <w:wordWrap/>
        <w:overflowPunct/>
        <w:topLinePunct w:val="0"/>
        <w:autoSpaceDE w:val="0"/>
        <w:autoSpaceDN w:val="0"/>
        <w:bidi w:val="0"/>
        <w:adjustRightInd w:val="0"/>
        <w:snapToGrid w:val="0"/>
        <w:spacing w:line="576" w:lineRule="exact"/>
        <w:textAlignment w:val="baseline"/>
      </w:pPr>
      <w:r>
        <w:t>（四）服务时效要求</w:t>
      </w:r>
    </w:p>
    <w:p>
      <w:pPr>
        <w:pageBreakBefore w:val="0"/>
        <w:widowControl/>
        <w:kinsoku w:val="0"/>
        <w:wordWrap/>
        <w:overflowPunct/>
        <w:topLinePunct w:val="0"/>
        <w:autoSpaceDE w:val="0"/>
        <w:autoSpaceDN w:val="0"/>
        <w:bidi w:val="0"/>
        <w:adjustRightInd w:val="0"/>
        <w:snapToGrid w:val="0"/>
        <w:spacing w:line="576" w:lineRule="exact"/>
        <w:textAlignment w:val="baseline"/>
      </w:pPr>
      <w:r>
        <w:t>日常维修：常规保养≤4 小时完工，一般故障维修≤24 小时完工，重大维修≤72 小时完工（特殊情况需提前书面告知并经采购人同意）。</w:t>
      </w:r>
    </w:p>
    <w:p>
      <w:pPr>
        <w:pageBreakBefore w:val="0"/>
        <w:widowControl/>
        <w:kinsoku w:val="0"/>
        <w:wordWrap/>
        <w:overflowPunct/>
        <w:topLinePunct w:val="0"/>
        <w:autoSpaceDE w:val="0"/>
        <w:autoSpaceDN w:val="0"/>
        <w:bidi w:val="0"/>
        <w:adjustRightInd w:val="0"/>
        <w:snapToGrid w:val="0"/>
        <w:spacing w:line="576" w:lineRule="exact"/>
        <w:textAlignment w:val="baseline"/>
      </w:pPr>
      <w:r>
        <w:t>应急救援：提供 24 小时应急服务，接到救援电话后 1 小时内响应，市区范围内 2 小时内抵达现场</w:t>
      </w:r>
      <w:r>
        <w:rPr>
          <w:rFonts w:hint="eastAsia"/>
          <w:lang w:eastAsia="zh-CN"/>
        </w:rPr>
        <w:t>，除昌都、阿里外</w:t>
      </w:r>
      <w:r>
        <w:rPr>
          <w:rFonts w:hint="eastAsia"/>
          <w:lang w:val="en-US" w:eastAsia="zh-CN"/>
        </w:rPr>
        <w:t>24小时内抵达现场，昌都、阿里地区48小时内抵达现场</w:t>
      </w:r>
      <w:r>
        <w:t>；现场无法修复的，4 小时内完成拖车调度。</w:t>
      </w:r>
    </w:p>
    <w:p>
      <w:pPr>
        <w:pageBreakBefore w:val="0"/>
        <w:widowControl/>
        <w:numPr>
          <w:ilvl w:val="0"/>
          <w:numId w:val="1"/>
        </w:numPr>
        <w:kinsoku w:val="0"/>
        <w:wordWrap/>
        <w:overflowPunct/>
        <w:topLinePunct w:val="0"/>
        <w:autoSpaceDE w:val="0"/>
        <w:autoSpaceDN w:val="0"/>
        <w:bidi w:val="0"/>
        <w:adjustRightInd w:val="0"/>
        <w:snapToGrid w:val="0"/>
        <w:spacing w:line="576" w:lineRule="exact"/>
        <w:textAlignment w:val="baseline"/>
      </w:pPr>
      <w:r>
        <w:rPr>
          <w:rFonts w:hint="eastAsia"/>
          <w:lang w:eastAsia="zh-CN"/>
        </w:rPr>
        <w:t>规范</w:t>
      </w:r>
      <w:r>
        <w:t>管理</w:t>
      </w:r>
    </w:p>
    <w:p>
      <w:pPr>
        <w:pageBreakBefore w:val="0"/>
        <w:widowControl/>
        <w:numPr>
          <w:ilvl w:val="0"/>
          <w:numId w:val="0"/>
        </w:numPr>
        <w:kinsoku w:val="0"/>
        <w:wordWrap/>
        <w:overflowPunct/>
        <w:topLinePunct w:val="0"/>
        <w:autoSpaceDE w:val="0"/>
        <w:autoSpaceDN w:val="0"/>
        <w:bidi w:val="0"/>
        <w:adjustRightInd w:val="0"/>
        <w:snapToGrid w:val="0"/>
        <w:spacing w:line="576" w:lineRule="exact"/>
        <w:ind w:firstLine="640" w:firstLineChars="200"/>
        <w:textAlignment w:val="baseline"/>
      </w:pPr>
      <w:r>
        <w:t>通过签订标准化合同，实现维修项目申报、诊断确认、进度跟踪、费用结算全流程办理。</w:t>
      </w:r>
    </w:p>
    <w:p>
      <w:pPr>
        <w:pageBreakBefore w:val="0"/>
        <w:widowControl/>
        <w:kinsoku w:val="0"/>
        <w:wordWrap/>
        <w:overflowPunct/>
        <w:topLinePunct w:val="0"/>
        <w:autoSpaceDE w:val="0"/>
        <w:autoSpaceDN w:val="0"/>
        <w:bidi w:val="0"/>
        <w:adjustRightInd w:val="0"/>
        <w:snapToGrid w:val="0"/>
        <w:spacing w:line="576" w:lineRule="exact"/>
        <w:textAlignment w:val="baseline"/>
      </w:pPr>
      <w:r>
        <w:t>建立 "一车一档" 维修档案，包含送修单、派工单、结算单 "三单合一" 记录，实时</w:t>
      </w:r>
      <w:r>
        <w:rPr>
          <w:rFonts w:hint="eastAsia"/>
          <w:lang w:eastAsia="zh-CN"/>
        </w:rPr>
        <w:t>保存</w:t>
      </w:r>
      <w:r>
        <w:t>维修数据，支持采购人查询维修记录、配件来源及费用明细。</w:t>
      </w:r>
    </w:p>
    <w:p>
      <w:pPr>
        <w:pageBreakBefore w:val="0"/>
        <w:widowControl/>
        <w:kinsoku w:val="0"/>
        <w:wordWrap/>
        <w:overflowPunct/>
        <w:topLinePunct w:val="0"/>
        <w:autoSpaceDE w:val="0"/>
        <w:autoSpaceDN w:val="0"/>
        <w:bidi w:val="0"/>
        <w:adjustRightInd w:val="0"/>
        <w:snapToGrid w:val="0"/>
        <w:spacing w:line="576" w:lineRule="exact"/>
        <w:textAlignment w:val="baseline"/>
      </w:pPr>
      <w:r>
        <w:t>维修车间需安装视频监控系统，专用维修工位全程录像</w:t>
      </w:r>
      <w:r>
        <w:rPr>
          <w:rFonts w:hint="eastAsia"/>
          <w:lang w:eastAsia="zh-CN"/>
        </w:rPr>
        <w:t>。</w:t>
      </w:r>
    </w:p>
    <w:p>
      <w:pPr>
        <w:pStyle w:val="3"/>
        <w:pageBreakBefore w:val="0"/>
        <w:widowControl/>
        <w:kinsoku w:val="0"/>
        <w:wordWrap/>
        <w:overflowPunct/>
        <w:topLinePunct w:val="0"/>
        <w:autoSpaceDE w:val="0"/>
        <w:autoSpaceDN w:val="0"/>
        <w:bidi w:val="0"/>
        <w:adjustRightInd w:val="0"/>
        <w:snapToGrid w:val="0"/>
        <w:spacing w:line="576" w:lineRule="exact"/>
        <w:ind w:left="0" w:leftChars="0" w:firstLine="321" w:firstLineChars="100"/>
        <w:textAlignment w:val="baseline"/>
      </w:pPr>
      <w:r>
        <w:t>三、商务及服务要求</w:t>
      </w:r>
      <w:bookmarkEnd w:id="17"/>
    </w:p>
    <w:p>
      <w:pPr>
        <w:pageBreakBefore w:val="0"/>
        <w:widowControl/>
        <w:kinsoku w:val="0"/>
        <w:wordWrap/>
        <w:overflowPunct/>
        <w:topLinePunct w:val="0"/>
        <w:autoSpaceDE w:val="0"/>
        <w:autoSpaceDN w:val="0"/>
        <w:bidi w:val="0"/>
        <w:adjustRightInd w:val="0"/>
        <w:snapToGrid w:val="0"/>
        <w:spacing w:line="576" w:lineRule="exact"/>
        <w:textAlignment w:val="baseline"/>
      </w:pPr>
      <w:bookmarkStart w:id="18" w:name="_Toc691"/>
      <w:r>
        <w:t>具备有效的</w:t>
      </w:r>
      <w:r>
        <w:rPr>
          <w:rFonts w:hint="eastAsia"/>
        </w:rPr>
        <w:t>二类（及以上）汽车维修资质</w:t>
      </w:r>
      <w:r>
        <w:rPr>
          <w:rFonts w:hint="eastAsia"/>
          <w:lang w:eastAsia="zh-CN"/>
        </w:rPr>
        <w:t>。</w:t>
      </w:r>
    </w:p>
    <w:p>
      <w:pPr>
        <w:pageBreakBefore w:val="0"/>
        <w:widowControl/>
        <w:kinsoku w:val="0"/>
        <w:wordWrap/>
        <w:overflowPunct/>
        <w:topLinePunct w:val="0"/>
        <w:autoSpaceDE w:val="0"/>
        <w:autoSpaceDN w:val="0"/>
        <w:bidi w:val="0"/>
        <w:adjustRightInd w:val="0"/>
        <w:snapToGrid w:val="0"/>
        <w:spacing w:line="576" w:lineRule="exact"/>
        <w:textAlignment w:val="baseline"/>
      </w:pPr>
      <w:r>
        <w:t>经营场地需为自有或租赁</w:t>
      </w:r>
      <w:r>
        <w:rPr>
          <w:rFonts w:hint="eastAsia"/>
          <w:lang w:eastAsia="zh-CN"/>
        </w:rPr>
        <w:t>个最高和一个最低取平均值。</w:t>
      </w:r>
      <w:r>
        <w:t>期覆盖服务全周期，交通便利并设置明显指示标志。</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default"/>
          <w:lang w:val="en-US" w:eastAsia="zh-CN"/>
        </w:rPr>
      </w:pPr>
      <w:r>
        <w:t>人员</w:t>
      </w:r>
      <w:r>
        <w:rPr>
          <w:rFonts w:hint="eastAsia"/>
          <w:lang w:val="en-US" w:eastAsia="zh-CN"/>
        </w:rPr>
        <w:t>满足本项目需求。</w:t>
      </w:r>
    </w:p>
    <w:p>
      <w:pPr>
        <w:pageBreakBefore w:val="0"/>
        <w:widowControl/>
        <w:kinsoku w:val="0"/>
        <w:wordWrap/>
        <w:overflowPunct/>
        <w:topLinePunct w:val="0"/>
        <w:autoSpaceDE w:val="0"/>
        <w:autoSpaceDN w:val="0"/>
        <w:bidi w:val="0"/>
        <w:adjustRightInd w:val="0"/>
        <w:snapToGrid w:val="0"/>
        <w:spacing w:line="576" w:lineRule="exact"/>
        <w:textAlignment w:val="baseline"/>
      </w:pPr>
      <w:r>
        <w:t>近 3 年无重大安全事故、质量投诉及违法违规记录，信用信息符合《政府采购法》相关规定。</w:t>
      </w:r>
    </w:p>
    <w:p>
      <w:pPr>
        <w:pStyle w:val="3"/>
        <w:pageBreakBefore w:val="0"/>
        <w:widowControl/>
        <w:kinsoku w:val="0"/>
        <w:wordWrap/>
        <w:overflowPunct/>
        <w:topLinePunct w:val="0"/>
        <w:autoSpaceDE w:val="0"/>
        <w:autoSpaceDN w:val="0"/>
        <w:bidi w:val="0"/>
        <w:adjustRightInd w:val="0"/>
        <w:snapToGrid w:val="0"/>
        <w:spacing w:line="576" w:lineRule="exact"/>
        <w:ind w:left="0" w:leftChars="0" w:firstLine="321" w:firstLineChars="100"/>
        <w:textAlignment w:val="baseline"/>
      </w:pPr>
      <w:r>
        <w:t>四、供应商资格及准入要求</w:t>
      </w:r>
      <w:bookmarkEnd w:id="18"/>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eastAsia="CESI仿宋-GB2312"/>
          <w:lang w:eastAsia="zh-CN"/>
        </w:rPr>
      </w:pPr>
      <w:r>
        <w:t>具有独立承担民事责任的能力，持有有效营业执照（经营范围包含办公用品销售或相关品类）</w:t>
      </w:r>
      <w:r>
        <w:rPr>
          <w:rFonts w:hint="eastAsia"/>
          <w:lang w:eastAsia="zh-CN"/>
        </w:rPr>
        <w:t>。</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eastAsia="CESI仿宋-GB2312"/>
          <w:lang w:eastAsia="zh-CN"/>
        </w:rPr>
      </w:pPr>
      <w:r>
        <w:t>具备良好的商业信誉和健全的财务会计制度，近 1 年无重大违法记录</w:t>
      </w:r>
      <w:r>
        <w:rPr>
          <w:rFonts w:hint="eastAsia"/>
          <w:lang w:eastAsia="zh-CN"/>
        </w:rPr>
        <w:t>。</w:t>
      </w:r>
    </w:p>
    <w:p>
      <w:pPr>
        <w:pStyle w:val="3"/>
        <w:pageBreakBefore w:val="0"/>
        <w:widowControl/>
        <w:kinsoku w:val="0"/>
        <w:wordWrap/>
        <w:overflowPunct/>
        <w:topLinePunct w:val="0"/>
        <w:autoSpaceDE w:val="0"/>
        <w:autoSpaceDN w:val="0"/>
        <w:bidi w:val="0"/>
        <w:adjustRightInd w:val="0"/>
        <w:snapToGrid w:val="0"/>
        <w:spacing w:line="576" w:lineRule="exact"/>
        <w:ind w:left="0" w:leftChars="0" w:firstLine="321" w:firstLineChars="100"/>
        <w:textAlignment w:val="baseline"/>
      </w:pPr>
      <w:bookmarkStart w:id="19" w:name="_Toc1694"/>
      <w:r>
        <w:t>五、框架协议履行及成交确定</w:t>
      </w:r>
      <w:bookmarkEnd w:id="19"/>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eastAsia="CESI仿宋-GB2312"/>
          <w:lang w:eastAsia="zh-CN"/>
        </w:rPr>
      </w:pPr>
      <w:r>
        <w:rPr>
          <w:rFonts w:hint="eastAsia"/>
          <w:lang w:eastAsia="zh-CN"/>
        </w:rPr>
        <w:t>维修</w:t>
      </w:r>
      <w:r>
        <w:t>订单执行：</w:t>
      </w:r>
      <w:r>
        <w:rPr>
          <w:rFonts w:hint="eastAsia"/>
          <w:lang w:eastAsia="zh-CN"/>
        </w:rPr>
        <w:t>先由</w:t>
      </w:r>
      <w:r>
        <w:t>采购</w:t>
      </w:r>
      <w:r>
        <w:rPr>
          <w:rFonts w:hint="eastAsia"/>
          <w:lang w:eastAsia="zh-CN"/>
        </w:rPr>
        <w:t>方</w:t>
      </w:r>
      <w:r>
        <w:t>下达</w:t>
      </w:r>
      <w:r>
        <w:rPr>
          <w:rFonts w:hint="eastAsia"/>
          <w:lang w:eastAsia="zh-CN"/>
        </w:rPr>
        <w:t>预约维修</w:t>
      </w:r>
      <w:r>
        <w:t>单，</w:t>
      </w:r>
      <w:r>
        <w:rPr>
          <w:rFonts w:hint="eastAsia"/>
          <w:lang w:eastAsia="zh-CN"/>
        </w:rPr>
        <w:t>由</w:t>
      </w:r>
      <w:r>
        <w:t>供应商确认</w:t>
      </w:r>
      <w:r>
        <w:rPr>
          <w:rFonts w:hint="eastAsia"/>
          <w:lang w:eastAsia="zh-CN"/>
        </w:rPr>
        <w:t>维修</w:t>
      </w:r>
      <w:r>
        <w:t>订</w:t>
      </w:r>
      <w:r>
        <w:rPr>
          <w:rFonts w:hint="eastAsia"/>
          <w:lang w:eastAsia="zh-CN"/>
        </w:rPr>
        <w:t>单</w:t>
      </w:r>
      <w:r>
        <w:t>后</w:t>
      </w:r>
      <w:r>
        <w:rPr>
          <w:rFonts w:hint="eastAsia"/>
          <w:lang w:eastAsia="zh-CN"/>
        </w:rPr>
        <w:t>，再由采购方确定维修金额方可进行维修</w:t>
      </w:r>
      <w:r>
        <w:t>，</w:t>
      </w:r>
      <w:r>
        <w:rPr>
          <w:rFonts w:hint="eastAsia"/>
          <w:lang w:eastAsia="zh-CN"/>
        </w:rPr>
        <w:t>维修</w:t>
      </w:r>
      <w:r>
        <w:t>订单作为框架协议的组成部分</w:t>
      </w:r>
      <w:r>
        <w:rPr>
          <w:rFonts w:hint="eastAsia"/>
          <w:lang w:eastAsia="zh-CN"/>
        </w:rPr>
        <w:t>。</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eastAsia="CESI仿宋-GB2312"/>
          <w:lang w:eastAsia="zh-CN"/>
        </w:rPr>
      </w:pPr>
      <w:r>
        <w:t>结算方式：按月结算，供应商每月 5 日前提交上月结算凭证（含合规发票、验收合格单、订单明细），采购方在收到凭证后 30 个工作日内</w:t>
      </w:r>
      <w:r>
        <w:rPr>
          <w:rFonts w:hint="eastAsia"/>
          <w:lang w:eastAsia="zh-CN"/>
        </w:rPr>
        <w:t>进行</w:t>
      </w:r>
      <w:r>
        <w:t>支付</w:t>
      </w:r>
      <w:r>
        <w:rPr>
          <w:rFonts w:hint="eastAsia"/>
          <w:lang w:eastAsia="zh-CN"/>
        </w:rPr>
        <w:t>。</w:t>
      </w:r>
    </w:p>
    <w:p>
      <w:pPr>
        <w:pStyle w:val="3"/>
        <w:pageBreakBefore w:val="0"/>
        <w:widowControl/>
        <w:kinsoku w:val="0"/>
        <w:wordWrap/>
        <w:overflowPunct/>
        <w:topLinePunct w:val="0"/>
        <w:autoSpaceDE w:val="0"/>
        <w:autoSpaceDN w:val="0"/>
        <w:bidi w:val="0"/>
        <w:adjustRightInd w:val="0"/>
        <w:snapToGrid w:val="0"/>
        <w:spacing w:line="576" w:lineRule="exact"/>
        <w:textAlignment w:val="baseline"/>
        <w:rPr>
          <w:rFonts w:hint="eastAsia" w:eastAsia="黑体"/>
          <w:lang w:eastAsia="zh-CN"/>
        </w:rPr>
      </w:pPr>
      <w:bookmarkStart w:id="20" w:name="_Toc32085"/>
      <w:r>
        <w:t>六、其他要求</w:t>
      </w:r>
      <w:bookmarkEnd w:id="20"/>
      <w:r>
        <w:rPr>
          <w:rFonts w:hint="eastAsia"/>
          <w:lang w:eastAsia="zh-CN"/>
        </w:rPr>
        <w:t>个最高和一个最低取平均值。</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lang w:eastAsia="zh-CN"/>
        </w:rPr>
      </w:pPr>
      <w:bookmarkStart w:id="21" w:name="_Toc17082"/>
      <w:bookmarkStart w:id="22" w:name="_Toc28298"/>
      <w:r>
        <w:t>供应商需建立专属服务团队，指定 1 名客户经理负责对接采购方需求，提供 7×12 小时咨询服务</w:t>
      </w:r>
      <w:r>
        <w:rPr>
          <w:rFonts w:hint="eastAsia"/>
          <w:lang w:eastAsia="zh-CN"/>
        </w:rPr>
        <w:t>。</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lang w:eastAsia="zh-CN"/>
        </w:rPr>
      </w:pPr>
      <w:r>
        <w:t>框架协议有效期内，供应商需每季度向采购方提交《产品质量及服务报告》，包含供货量、合格率、投诉处理情况等</w:t>
      </w:r>
      <w:r>
        <w:rPr>
          <w:rFonts w:hint="eastAsia"/>
          <w:lang w:eastAsia="zh-CN"/>
        </w:rPr>
        <w:t>。</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lang w:eastAsia="zh-CN"/>
        </w:rPr>
      </w:pPr>
      <w:r>
        <w:t>供应商不得擅自更换入围产品规格或</w:t>
      </w:r>
      <w:r>
        <w:rPr>
          <w:rFonts w:hint="eastAsia"/>
          <w:lang w:eastAsia="zh-CN"/>
        </w:rPr>
        <w:t>型号及</w:t>
      </w:r>
      <w:r>
        <w:t>品牌，若需产品升级换代，需提前 15 日书面告知采购方，经审核确认（质量不降低、价格不提高）后方可替</w:t>
      </w:r>
      <w:r>
        <w:rPr>
          <w:rFonts w:hint="eastAsia"/>
          <w:lang w:eastAsia="zh-CN"/>
        </w:rPr>
        <w:t>代。</w:t>
      </w:r>
    </w:p>
    <w:p>
      <w:pPr>
        <w:pageBreakBefore w:val="0"/>
        <w:widowControl/>
        <w:kinsoku w:val="0"/>
        <w:wordWrap/>
        <w:overflowPunct/>
        <w:topLinePunct w:val="0"/>
        <w:autoSpaceDE w:val="0"/>
        <w:autoSpaceDN w:val="0"/>
        <w:bidi w:val="0"/>
        <w:adjustRightInd w:val="0"/>
        <w:snapToGrid w:val="0"/>
        <w:spacing w:line="576" w:lineRule="exact"/>
        <w:textAlignment w:val="baseline"/>
        <w:rPr>
          <w:rFonts w:hint="eastAsia"/>
          <w:lang w:eastAsia="zh-CN"/>
        </w:rPr>
      </w:pPr>
      <w:r>
        <w:t>未尽事宜按《政府采购框架协议采购方式管理暂行办法》（财政部令第 110 号）及相关法律法规执行</w:t>
      </w:r>
      <w:bookmarkStart w:id="23" w:name="bookmark81"/>
      <w:bookmarkEnd w:id="23"/>
      <w:r>
        <w:rPr>
          <w:rFonts w:hint="eastAsia"/>
          <w:lang w:eastAsia="zh-CN"/>
        </w:rPr>
        <w:t>。</w:t>
      </w:r>
    </w:p>
    <w:p>
      <w:pPr>
        <w:pageBreakBefore w:val="0"/>
        <w:widowControl/>
        <w:kinsoku w:val="0"/>
        <w:wordWrap/>
        <w:overflowPunct/>
        <w:topLinePunct w:val="0"/>
        <w:autoSpaceDE w:val="0"/>
        <w:autoSpaceDN w:val="0"/>
        <w:bidi w:val="0"/>
        <w:adjustRightInd w:val="0"/>
        <w:snapToGrid w:val="0"/>
        <w:spacing w:line="576" w:lineRule="exact"/>
        <w:textAlignment w:val="baseline"/>
        <w:rPr>
          <w:b/>
          <w:bCs/>
        </w:rPr>
      </w:pPr>
      <w:r>
        <w:rPr>
          <w:b/>
          <w:bCs/>
        </w:rPr>
        <w:t>供应商应保证响应报价真实、可靠，不存在价格虚高、</w:t>
      </w:r>
      <w:r>
        <w:rPr>
          <w:rFonts w:hint="eastAsia"/>
          <w:b/>
          <w:bCs/>
          <w:lang w:eastAsia="zh-CN"/>
        </w:rPr>
        <w:t>牟取暴利</w:t>
      </w:r>
      <w:r>
        <w:rPr>
          <w:b/>
          <w:bCs/>
        </w:rPr>
        <w:t>等违法违规行为。</w:t>
      </w:r>
      <w:r>
        <w:rPr>
          <w:rFonts w:hint="eastAsia"/>
          <w:b/>
          <w:bCs/>
          <w:lang w:val="en-US" w:eastAsia="zh-CN"/>
        </w:rPr>
        <w:t>采购人</w:t>
      </w:r>
      <w:r>
        <w:rPr>
          <w:b/>
          <w:bCs/>
        </w:rPr>
        <w:t>有权组织审价，如发现存在虚假等情况的，有权要求供应商下调价格</w:t>
      </w:r>
      <w:r>
        <w:rPr>
          <w:rFonts w:hint="eastAsia"/>
          <w:b/>
          <w:bCs/>
          <w:lang w:eastAsia="zh-CN"/>
        </w:rPr>
        <w:t>，</w:t>
      </w:r>
      <w:r>
        <w:rPr>
          <w:b/>
          <w:bCs/>
        </w:rPr>
        <w:t>入围供应商不同意将价格降的，</w:t>
      </w:r>
      <w:r>
        <w:rPr>
          <w:rFonts w:hint="eastAsia"/>
          <w:b/>
          <w:bCs/>
          <w:lang w:eastAsia="zh-CN"/>
        </w:rPr>
        <w:t>采购人</w:t>
      </w:r>
      <w:r>
        <w:rPr>
          <w:b/>
          <w:bCs/>
        </w:rPr>
        <w:t>可以将合同授予</w:t>
      </w:r>
      <w:r>
        <w:rPr>
          <w:rFonts w:hint="eastAsia"/>
          <w:b/>
          <w:bCs/>
          <w:lang w:eastAsia="zh-CN"/>
        </w:rPr>
        <w:t>另一家</w:t>
      </w:r>
      <w:r>
        <w:rPr>
          <w:b/>
          <w:bCs/>
        </w:rPr>
        <w:t>入围</w:t>
      </w:r>
      <w:r>
        <w:rPr>
          <w:rFonts w:hint="eastAsia"/>
          <w:b/>
          <w:bCs/>
          <w:lang w:eastAsia="zh-CN"/>
        </w:rPr>
        <w:t>供应商。</w:t>
      </w:r>
    </w:p>
    <w:p>
      <w:pPr>
        <w:pageBreakBefore w:val="0"/>
        <w:widowControl/>
        <w:kinsoku w:val="0"/>
        <w:wordWrap/>
        <w:overflowPunct/>
        <w:topLinePunct w:val="0"/>
        <w:autoSpaceDE w:val="0"/>
        <w:autoSpaceDN w:val="0"/>
        <w:bidi w:val="0"/>
        <w:adjustRightInd w:val="0"/>
        <w:snapToGrid w:val="0"/>
        <w:spacing w:line="576" w:lineRule="exact"/>
        <w:textAlignment w:val="baseline"/>
        <w:rPr>
          <w:b/>
          <w:bCs/>
        </w:rPr>
      </w:pPr>
      <w:r>
        <w:rPr>
          <w:b/>
          <w:bCs/>
        </w:rPr>
        <w:t>若供应商给予第三方额外的优惠及补贴，如达标奖励、超额奖励、利息补贴、库存补贴等，</w:t>
      </w:r>
      <w:r>
        <w:rPr>
          <w:rFonts w:hint="eastAsia"/>
          <w:b/>
          <w:bCs/>
          <w:lang w:val="en-US" w:eastAsia="zh-CN"/>
        </w:rPr>
        <w:t>采购人</w:t>
      </w:r>
      <w:r>
        <w:rPr>
          <w:b/>
          <w:bCs/>
        </w:rPr>
        <w:t>应享受同等待遇，可通过签订补充协议等方式执行。</w:t>
      </w:r>
    </w:p>
    <w:p>
      <w:pP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br w:type="page"/>
      </w:r>
    </w:p>
    <w:p>
      <w:pPr>
        <w:pStyle w:val="2"/>
        <w:pageBreakBefore w:val="0"/>
        <w:widowControl/>
        <w:kinsoku w:val="0"/>
        <w:wordWrap/>
        <w:overflowPunct/>
        <w:topLinePunct w:val="0"/>
        <w:autoSpaceDE w:val="0"/>
        <w:autoSpaceDN w:val="0"/>
        <w:bidi w:val="0"/>
        <w:adjustRightInd w:val="0"/>
        <w:snapToGrid w:val="0"/>
        <w:spacing w:line="576" w:lineRule="exact"/>
        <w:textAlignment w:val="baseline"/>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bCs/>
          <w:sz w:val="44"/>
          <w:szCs w:val="44"/>
        </w:rPr>
        <w:t>第</w:t>
      </w:r>
      <w:r>
        <w:rPr>
          <w:rFonts w:hint="eastAsia" w:ascii="方正小标宋_GBK" w:hAnsi="方正小标宋_GBK" w:eastAsia="方正小标宋_GBK" w:cs="方正小标宋_GBK"/>
          <w:b/>
          <w:bCs/>
          <w:sz w:val="44"/>
          <w:szCs w:val="44"/>
          <w:lang w:val="en-US" w:eastAsia="zh-CN"/>
        </w:rPr>
        <w:t>四</w:t>
      </w:r>
      <w:r>
        <w:rPr>
          <w:rFonts w:hint="eastAsia" w:ascii="方正小标宋_GBK" w:hAnsi="方正小标宋_GBK" w:eastAsia="方正小标宋_GBK" w:cs="方正小标宋_GBK"/>
          <w:b/>
          <w:bCs/>
          <w:sz w:val="44"/>
          <w:szCs w:val="44"/>
        </w:rPr>
        <w:t>章</w:t>
      </w:r>
      <w:r>
        <w:rPr>
          <w:rFonts w:hint="eastAsia" w:ascii="方正小标宋_GBK" w:hAnsi="方正小标宋_GBK" w:eastAsia="方正小标宋_GBK" w:cs="方正小标宋_GBK"/>
          <w:sz w:val="44"/>
          <w:szCs w:val="44"/>
        </w:rPr>
        <w:t xml:space="preserve"> </w:t>
      </w:r>
      <w:r>
        <w:rPr>
          <w:rFonts w:hint="eastAsia" w:ascii="方正小标宋_GBK" w:hAnsi="方正小标宋_GBK" w:eastAsia="方正小标宋_GBK" w:cs="方正小标宋_GBK"/>
          <w:b/>
          <w:bCs/>
          <w:sz w:val="44"/>
          <w:szCs w:val="44"/>
        </w:rPr>
        <w:t>评审办法</w:t>
      </w:r>
      <w:bookmarkEnd w:id="21"/>
      <w:bookmarkEnd w:id="22"/>
    </w:p>
    <w:p>
      <w:pPr>
        <w:pageBreakBefore w:val="0"/>
        <w:widowControl/>
        <w:kinsoku w:val="0"/>
        <w:wordWrap/>
        <w:overflowPunct/>
        <w:topLinePunct w:val="0"/>
        <w:autoSpaceDE w:val="0"/>
        <w:autoSpaceDN w:val="0"/>
        <w:bidi w:val="0"/>
        <w:adjustRightInd w:val="0"/>
        <w:snapToGrid w:val="0"/>
        <w:spacing w:line="576" w:lineRule="exact"/>
        <w:textAlignment w:val="baseline"/>
      </w:pPr>
      <w:bookmarkStart w:id="24" w:name="_Toc25334"/>
      <w:r>
        <w:t>1. 相关要求</w:t>
      </w:r>
      <w:bookmarkEnd w:id="24"/>
    </w:p>
    <w:p>
      <w:pPr>
        <w:pageBreakBefore w:val="0"/>
        <w:widowControl/>
        <w:kinsoku w:val="0"/>
        <w:wordWrap/>
        <w:overflowPunct/>
        <w:topLinePunct w:val="0"/>
        <w:autoSpaceDE w:val="0"/>
        <w:autoSpaceDN w:val="0"/>
        <w:bidi w:val="0"/>
        <w:adjustRightInd w:val="0"/>
        <w:snapToGrid w:val="0"/>
        <w:spacing w:line="576" w:lineRule="exact"/>
        <w:textAlignment w:val="baseline"/>
      </w:pPr>
      <w:r>
        <w:t>1.1质量优先法是指对满足采购需求且响应报价不超过最高限制单价的货物、服务进行质量综合评分，按照质量评分从高到低排序，根据征集文件规定的淘汰率或者入围供应商数量上限，确定入围供应商的评审方法。</w:t>
      </w:r>
    </w:p>
    <w:p>
      <w:pPr>
        <w:pageBreakBefore w:val="0"/>
        <w:widowControl/>
        <w:kinsoku w:val="0"/>
        <w:wordWrap/>
        <w:overflowPunct/>
        <w:topLinePunct w:val="0"/>
        <w:autoSpaceDE w:val="0"/>
        <w:autoSpaceDN w:val="0"/>
        <w:bidi w:val="0"/>
        <w:adjustRightInd w:val="0"/>
        <w:snapToGrid w:val="0"/>
        <w:spacing w:line="576" w:lineRule="exact"/>
        <w:textAlignment w:val="baseline"/>
      </w:pPr>
      <w:r>
        <w:t>1.</w:t>
      </w:r>
      <w:r>
        <w:rPr>
          <w:rFonts w:hint="eastAsia"/>
          <w:lang w:val="en-US" w:eastAsia="zh-CN"/>
        </w:rPr>
        <w:t>2</w:t>
      </w:r>
      <w:r>
        <w:t>评分得分非整数的保留小数点后两位（小数点后第三位数四舍五入）。</w:t>
      </w:r>
    </w:p>
    <w:p>
      <w:pPr>
        <w:pageBreakBefore w:val="0"/>
        <w:widowControl/>
        <w:kinsoku w:val="0"/>
        <w:wordWrap/>
        <w:overflowPunct/>
        <w:topLinePunct w:val="0"/>
        <w:autoSpaceDE w:val="0"/>
        <w:autoSpaceDN w:val="0"/>
        <w:bidi w:val="0"/>
        <w:adjustRightInd w:val="0"/>
        <w:snapToGrid w:val="0"/>
        <w:spacing w:line="576" w:lineRule="exact"/>
        <w:textAlignment w:val="baseline"/>
      </w:pPr>
      <w:r>
        <w:t>1.</w:t>
      </w:r>
      <w:r>
        <w:rPr>
          <w:rFonts w:hint="eastAsia"/>
          <w:lang w:val="en-US" w:eastAsia="zh-CN"/>
        </w:rPr>
        <w:t>3</w:t>
      </w:r>
      <w:r>
        <w:t>监狱企业参与政府采购活动，均视同小型、微型企业，享受国家优惠政策，应当提供由省级以上监狱管理局、戒毒管理局或新疆生产建设兵团出具的属于监狱企业的证明原件的扫描件，且对上述材料的真实性负责，否则不给予价格扣除。</w:t>
      </w:r>
    </w:p>
    <w:p>
      <w:pPr>
        <w:pageBreakBefore w:val="0"/>
        <w:widowControl/>
        <w:kinsoku w:val="0"/>
        <w:wordWrap/>
        <w:overflowPunct/>
        <w:topLinePunct w:val="0"/>
        <w:autoSpaceDE w:val="0"/>
        <w:autoSpaceDN w:val="0"/>
        <w:bidi w:val="0"/>
        <w:adjustRightInd w:val="0"/>
        <w:snapToGrid w:val="0"/>
        <w:spacing w:line="576" w:lineRule="exact"/>
        <w:textAlignment w:val="baseline"/>
      </w:pPr>
      <w:bookmarkStart w:id="25" w:name="_Toc14830"/>
      <w:r>
        <w:t>2. 评审标准</w:t>
      </w:r>
      <w:bookmarkEnd w:id="25"/>
    </w:p>
    <w:tbl>
      <w:tblPr>
        <w:tblStyle w:val="15"/>
        <w:tblW w:w="8245" w:type="dxa"/>
        <w:tblInd w:w="29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
        <w:gridCol w:w="552"/>
        <w:gridCol w:w="829"/>
        <w:gridCol w:w="857"/>
        <w:gridCol w:w="2298"/>
        <w:gridCol w:w="368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75"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r>
              <w:rPr>
                <w:rFonts w:hint="eastAsia"/>
                <w:lang w:val="en-US" w:eastAsia="zh-CN"/>
              </w:rPr>
              <w:t>序号</w:t>
            </w:r>
          </w:p>
        </w:tc>
        <w:tc>
          <w:tcPr>
            <w:tcW w:w="1686"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r>
              <w:rPr>
                <w:rFonts w:hint="eastAsia"/>
                <w:lang w:val="en-US" w:eastAsia="zh-CN"/>
              </w:rPr>
              <w:t>类型</w:t>
            </w:r>
          </w:p>
        </w:tc>
        <w:tc>
          <w:tcPr>
            <w:tcW w:w="2298"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r>
              <w:rPr>
                <w:rFonts w:hint="eastAsia"/>
                <w:lang w:val="en-US" w:eastAsia="zh-CN"/>
              </w:rPr>
              <w:t>审查要求</w:t>
            </w:r>
          </w:p>
        </w:tc>
        <w:tc>
          <w:tcPr>
            <w:tcW w:w="368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r>
              <w:rPr>
                <w:rFonts w:hint="eastAsia"/>
                <w:lang w:val="en-US" w:eastAsia="zh-CN"/>
              </w:rPr>
              <w:t>要求说明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 w:hRule="atLeast"/>
        </w:trPr>
        <w:tc>
          <w:tcPr>
            <w:tcW w:w="575" w:type="dxa"/>
            <w:gridSpan w:val="2"/>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r>
              <w:rPr>
                <w:rFonts w:hint="eastAsia"/>
                <w:lang w:val="en-US" w:eastAsia="zh-CN"/>
              </w:rPr>
              <w:t>1</w:t>
            </w:r>
          </w:p>
        </w:tc>
        <w:tc>
          <w:tcPr>
            <w:tcW w:w="1686" w:type="dxa"/>
            <w:gridSpan w:val="2"/>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lang w:val="en-US" w:eastAsia="zh-CN"/>
              </w:rPr>
            </w:pPr>
            <w:r>
              <w:rPr>
                <w:rFonts w:hint="eastAsia"/>
                <w:lang w:val="en-US" w:eastAsia="zh-CN"/>
              </w:rPr>
              <w:t>资格性审查</w:t>
            </w:r>
          </w:p>
        </w:tc>
        <w:tc>
          <w:tcPr>
            <w:tcW w:w="2298"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Arial" w:hAnsi="Arial"/>
                <w:lang w:val="en-US" w:eastAsia="zh-CN"/>
              </w:rPr>
            </w:pPr>
            <w:r>
              <w:rPr>
                <w:rFonts w:hint="eastAsia" w:ascii="Arial" w:hAnsi="Arial"/>
                <w:lang w:val="en-US" w:eastAsia="zh-CN"/>
              </w:rPr>
              <w:t>具有独立承担民事责任的能力</w:t>
            </w:r>
          </w:p>
        </w:tc>
        <w:tc>
          <w:tcPr>
            <w:tcW w:w="3686"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lang w:val="en-US" w:eastAsia="zh-CN"/>
              </w:rPr>
            </w:pPr>
            <w:r>
              <w:rPr>
                <w:rFonts w:hint="eastAsia" w:ascii="Arial" w:hAnsi="Arial"/>
                <w:lang w:val="en-US" w:eastAsia="zh-CN"/>
              </w:rPr>
              <w:t>提供营业执照或相关证明材料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75" w:type="dxa"/>
            <w:gridSpan w:val="2"/>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1686" w:type="dxa"/>
            <w:gridSpan w:val="2"/>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2298"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Arial" w:hAnsi="Arial"/>
                <w:lang w:val="en-US" w:eastAsia="zh-CN"/>
              </w:rPr>
            </w:pPr>
            <w:r>
              <w:rPr>
                <w:rFonts w:hint="eastAsia" w:ascii="Arial" w:hAnsi="Arial"/>
                <w:lang w:val="en-US" w:eastAsia="zh-CN"/>
              </w:rPr>
              <w:t>具有健全的财务会计制度</w:t>
            </w:r>
          </w:p>
        </w:tc>
        <w:tc>
          <w:tcPr>
            <w:tcW w:w="3686"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lang w:val="en-US" w:eastAsia="zh-CN"/>
              </w:rPr>
            </w:pPr>
            <w:r>
              <w:rPr>
                <w:rFonts w:hint="eastAsia" w:ascii="Arial" w:hAnsi="Arial"/>
                <w:lang w:val="en-US" w:eastAsia="zh-CN"/>
              </w:rPr>
              <w:t>提供财务会计制度或2024或2025年财务</w:t>
            </w:r>
            <w:r>
              <w:rPr>
                <w:rFonts w:hint="eastAsia"/>
                <w:lang w:val="en-US" w:eastAsia="zh-CN"/>
              </w:rPr>
              <w:t>或</w:t>
            </w:r>
            <w:r>
              <w:rPr>
                <w:rFonts w:hint="eastAsia" w:ascii="Arial" w:hAnsi="Arial"/>
                <w:lang w:val="en-US" w:eastAsia="zh-CN"/>
              </w:rPr>
              <w:t>审计报告。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575" w:type="dxa"/>
            <w:gridSpan w:val="2"/>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0" w:type="auto"/>
            <w:gridSpan w:val="2"/>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2298"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Arial" w:hAnsi="Arial"/>
                <w:lang w:val="en-US" w:eastAsia="zh-CN"/>
              </w:rPr>
            </w:pPr>
            <w:r>
              <w:rPr>
                <w:rFonts w:hint="eastAsia" w:ascii="Arial" w:hAnsi="Arial"/>
                <w:lang w:val="en-US" w:eastAsia="zh-CN"/>
              </w:rPr>
              <w:t>具有履行合同所必需的专业设备、人员和技术能</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both"/>
              <w:textAlignment w:val="baseline"/>
              <w:rPr>
                <w:rFonts w:hint="eastAsia" w:ascii="Arial" w:hAnsi="Arial"/>
                <w:lang w:val="en-US" w:eastAsia="zh-CN"/>
              </w:rPr>
            </w:pPr>
            <w:r>
              <w:rPr>
                <w:rFonts w:hint="eastAsia" w:ascii="Arial" w:hAnsi="Arial"/>
                <w:lang w:val="en-US" w:eastAsia="zh-CN"/>
              </w:rPr>
              <w:t>力</w:t>
            </w:r>
          </w:p>
        </w:tc>
        <w:tc>
          <w:tcPr>
            <w:tcW w:w="3686"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lang w:val="en-US" w:eastAsia="zh-CN"/>
              </w:rPr>
            </w:pPr>
            <w:r>
              <w:rPr>
                <w:rFonts w:hint="eastAsia" w:ascii="Arial" w:hAnsi="Arial"/>
                <w:lang w:val="en-US" w:eastAsia="zh-CN"/>
              </w:rPr>
              <w:t>提供</w:t>
            </w:r>
            <w:r>
              <w:rPr>
                <w:rFonts w:hint="eastAsia"/>
                <w:lang w:val="en-US" w:eastAsia="zh-CN"/>
              </w:rPr>
              <w:t>用工合同专业技术人员证书</w:t>
            </w:r>
            <w:r>
              <w:rPr>
                <w:rFonts w:hint="eastAsia" w:ascii="Arial" w:hAnsi="Arial"/>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75" w:type="dxa"/>
            <w:gridSpan w:val="2"/>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1686" w:type="dxa"/>
            <w:gridSpan w:val="2"/>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2298"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Arial" w:hAnsi="Arial"/>
                <w:lang w:val="en-US" w:eastAsia="zh-CN"/>
              </w:rPr>
            </w:pPr>
            <w:r>
              <w:rPr>
                <w:rFonts w:hint="eastAsia" w:ascii="Arial" w:hAnsi="Arial"/>
                <w:lang w:val="en-US" w:eastAsia="zh-CN"/>
              </w:rPr>
              <w:t>有依法缴纳税收和社会保障资金的良好记录</w:t>
            </w:r>
          </w:p>
        </w:tc>
        <w:tc>
          <w:tcPr>
            <w:tcW w:w="3686"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lang w:val="en-US" w:eastAsia="zh-CN"/>
              </w:rPr>
            </w:pPr>
            <w:r>
              <w:rPr>
                <w:rFonts w:hint="eastAsia" w:ascii="Arial" w:hAnsi="Arial"/>
                <w:lang w:val="en-US" w:eastAsia="zh-CN"/>
              </w:rPr>
              <w:t>提供缴纳税收和社会保障金的证明材料或承诺。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575" w:type="dxa"/>
            <w:gridSpan w:val="2"/>
            <w:vMerge w:val="continue"/>
            <w:tcBorders>
              <w:top w:val="nil"/>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1686" w:type="dxa"/>
            <w:gridSpan w:val="2"/>
            <w:vMerge w:val="continue"/>
            <w:tcBorders>
              <w:top w:val="nil"/>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2298" w:type="dxa"/>
            <w:tcBorders>
              <w:bottom w:val="single" w:color="auto" w:sz="4" w:space="0"/>
            </w:tcBorders>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Arial" w:hAnsi="Arial"/>
                <w:lang w:val="en-US" w:eastAsia="zh-CN"/>
              </w:rPr>
            </w:pPr>
            <w:r>
              <w:rPr>
                <w:rFonts w:hint="eastAsia" w:ascii="Arial" w:hAnsi="Arial"/>
                <w:lang w:val="en-US" w:eastAsia="zh-CN"/>
              </w:rPr>
              <w:t>参加采购活动前3年内，在经营活</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both"/>
              <w:textAlignment w:val="baseline"/>
              <w:rPr>
                <w:rFonts w:hint="eastAsia" w:ascii="Arial" w:hAnsi="Arial"/>
                <w:lang w:val="en-US" w:eastAsia="zh-CN"/>
              </w:rPr>
            </w:pPr>
            <w:r>
              <w:rPr>
                <w:rFonts w:hint="eastAsia" w:ascii="Arial" w:hAnsi="Arial"/>
                <w:lang w:val="en-US" w:eastAsia="zh-CN"/>
              </w:rPr>
              <w:t>动中没有重大违法记录</w:t>
            </w:r>
          </w:p>
        </w:tc>
        <w:tc>
          <w:tcPr>
            <w:tcW w:w="3686" w:type="dxa"/>
            <w:tcBorders>
              <w:bottom w:val="single" w:color="auto" w:sz="4" w:space="0"/>
            </w:tcBorders>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lang w:val="en-US" w:eastAsia="zh-CN"/>
              </w:rPr>
            </w:pPr>
            <w:r>
              <w:rPr>
                <w:rFonts w:hint="eastAsia" w:ascii="Arial" w:hAnsi="Arial"/>
                <w:lang w:val="en-US" w:eastAsia="zh-CN"/>
              </w:rPr>
              <w:t>提供书面声明或承诺。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75" w:type="dxa"/>
            <w:gridSpan w:val="2"/>
            <w:vMerge w:val="continue"/>
            <w:tcBorders>
              <w:top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1686" w:type="dxa"/>
            <w:gridSpan w:val="2"/>
            <w:vMerge w:val="continue"/>
            <w:tcBorders>
              <w:top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2298" w:type="dxa"/>
            <w:vMerge w:val="restart"/>
            <w:tcBorders>
              <w:top w:val="single" w:color="auto" w:sz="4" w:space="0"/>
              <w:right w:val="single" w:color="auto" w:sz="4" w:space="0"/>
            </w:tcBorders>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Arial" w:hAnsi="Arial"/>
                <w:lang w:val="en-US" w:eastAsia="zh-CN"/>
              </w:rPr>
            </w:pPr>
            <w:r>
              <w:rPr>
                <w:rFonts w:hint="eastAsia" w:ascii="Arial" w:hAnsi="Arial"/>
                <w:lang w:val="en-US" w:eastAsia="zh-CN"/>
              </w:rPr>
              <w:t>单位负责人为同一人或者存在控股、管理关系的不同单位，不得同时参加本项目</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both"/>
              <w:textAlignment w:val="baseline"/>
              <w:rPr>
                <w:rFonts w:hint="eastAsia" w:ascii="Arial" w:hAnsi="Arial"/>
                <w:lang w:val="en-US" w:eastAsia="zh-CN"/>
              </w:rPr>
            </w:pPr>
            <w:r>
              <w:rPr>
                <w:rFonts w:hint="eastAsia" w:ascii="Arial" w:hAnsi="Arial"/>
                <w:lang w:val="en-US" w:eastAsia="zh-CN"/>
              </w:rPr>
              <w:t>的投标</w:t>
            </w:r>
          </w:p>
        </w:tc>
        <w:tc>
          <w:tcPr>
            <w:tcW w:w="3686" w:type="dxa"/>
            <w:tcBorders>
              <w:top w:val="single" w:color="auto" w:sz="4" w:space="0"/>
              <w:left w:val="single" w:color="auto" w:sz="4" w:space="0"/>
              <w:bottom w:val="nil"/>
              <w:right w:val="single" w:color="auto" w:sz="4" w:space="0"/>
            </w:tcBorders>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lang w:val="en-US" w:eastAsia="zh-CN"/>
              </w:rPr>
            </w:pPr>
            <w:r>
              <w:rPr>
                <w:rFonts w:hint="eastAsia" w:ascii="Arial" w:hAnsi="Arial"/>
                <w:lang w:val="en-US" w:eastAsia="zh-CN"/>
              </w:rPr>
              <w:t>提供“投标人关联企业情况声明”或承诺。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75" w:type="dxa"/>
            <w:gridSpan w:val="2"/>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1686" w:type="dxa"/>
            <w:gridSpan w:val="2"/>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2298" w:type="dxa"/>
            <w:vMerge w:val="continue"/>
            <w:tcBorders>
              <w:right w:val="single" w:color="auto" w:sz="4" w:space="0"/>
            </w:tcBorders>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both"/>
              <w:textAlignment w:val="baseline"/>
              <w:rPr>
                <w:rFonts w:hint="eastAsia" w:ascii="Arial" w:hAnsi="Arial"/>
                <w:lang w:val="en-US" w:eastAsia="zh-CN"/>
              </w:rPr>
            </w:pPr>
          </w:p>
        </w:tc>
        <w:tc>
          <w:tcPr>
            <w:tcW w:w="368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575" w:type="dxa"/>
            <w:gridSpan w:val="2"/>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1686" w:type="dxa"/>
            <w:gridSpan w:val="2"/>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2298"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eastAsia="仿宋" w:cs="Arial"/>
                <w:snapToGrid w:val="0"/>
                <w:color w:val="000000"/>
                <w:kern w:val="0"/>
                <w:sz w:val="28"/>
                <w:szCs w:val="21"/>
                <w:lang w:val="en-US" w:eastAsia="zh-CN" w:bidi="ar-SA"/>
              </w:rPr>
            </w:pPr>
            <w:r>
              <w:rPr>
                <w:rFonts w:hint="eastAsia"/>
                <w:lang w:val="en-US" w:eastAsia="zh-CN"/>
              </w:rPr>
              <w:t>供应商名称</w:t>
            </w:r>
          </w:p>
        </w:tc>
        <w:tc>
          <w:tcPr>
            <w:tcW w:w="3686" w:type="dxa"/>
            <w:tcBorders>
              <w:top w:val="single" w:color="auto" w:sz="4" w:space="0"/>
            </w:tcBorders>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eastAsia="仿宋" w:cs="Arial"/>
                <w:snapToGrid w:val="0"/>
                <w:color w:val="000000"/>
                <w:kern w:val="0"/>
                <w:sz w:val="28"/>
                <w:szCs w:val="21"/>
                <w:lang w:val="en-US" w:eastAsia="zh-CN" w:bidi="ar-SA"/>
              </w:rPr>
            </w:pPr>
            <w:r>
              <w:rPr>
                <w:rFonts w:hint="eastAsia"/>
                <w:lang w:val="en-US" w:eastAsia="zh-CN"/>
              </w:rPr>
              <w:t>与营业执照一致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575" w:type="dxa"/>
            <w:gridSpan w:val="2"/>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1686" w:type="dxa"/>
            <w:gridSpan w:val="2"/>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2298"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eastAsia="仿宋" w:cs="Arial"/>
                <w:snapToGrid w:val="0"/>
                <w:color w:val="000000"/>
                <w:kern w:val="0"/>
                <w:sz w:val="28"/>
                <w:szCs w:val="21"/>
                <w:lang w:val="en-US" w:eastAsia="zh-CN" w:bidi="ar-SA"/>
              </w:rPr>
            </w:pPr>
            <w:r>
              <w:rPr>
                <w:rFonts w:hint="eastAsia"/>
                <w:lang w:val="en-US" w:eastAsia="zh-CN"/>
              </w:rPr>
              <w:t>投标文件盖章签署</w:t>
            </w:r>
          </w:p>
        </w:tc>
        <w:tc>
          <w:tcPr>
            <w:tcW w:w="3686"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eastAsia="仿宋" w:cs="Arial"/>
                <w:snapToGrid w:val="0"/>
                <w:color w:val="000000"/>
                <w:kern w:val="0"/>
                <w:sz w:val="28"/>
                <w:szCs w:val="21"/>
                <w:lang w:val="en-US" w:eastAsia="zh-CN" w:bidi="ar-SA"/>
              </w:rPr>
            </w:pPr>
            <w:r>
              <w:rPr>
                <w:rFonts w:hint="eastAsia"/>
                <w:lang w:val="en-US" w:eastAsia="zh-CN"/>
              </w:rPr>
              <w:t>符合征集文件规定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575" w:type="dxa"/>
            <w:gridSpan w:val="2"/>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1686" w:type="dxa"/>
            <w:gridSpan w:val="2"/>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2298"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eastAsia="仿宋" w:cs="Arial"/>
                <w:snapToGrid w:val="0"/>
                <w:color w:val="000000"/>
                <w:kern w:val="0"/>
                <w:sz w:val="28"/>
                <w:szCs w:val="21"/>
                <w:lang w:val="en-US" w:eastAsia="zh-CN" w:bidi="ar-SA"/>
              </w:rPr>
            </w:pPr>
            <w:r>
              <w:rPr>
                <w:rFonts w:hint="eastAsia"/>
                <w:lang w:val="en-US" w:eastAsia="zh-CN"/>
              </w:rPr>
              <w:t>法定代表人身份证明及授权委托书</w:t>
            </w:r>
          </w:p>
        </w:tc>
        <w:tc>
          <w:tcPr>
            <w:tcW w:w="3686"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eastAsia="仿宋" w:cs="Arial"/>
                <w:snapToGrid w:val="0"/>
                <w:color w:val="000000"/>
                <w:kern w:val="0"/>
                <w:sz w:val="28"/>
                <w:szCs w:val="21"/>
                <w:lang w:val="en-US" w:eastAsia="zh-CN" w:bidi="ar-SA"/>
              </w:rPr>
            </w:pPr>
            <w:r>
              <w:rPr>
                <w:rFonts w:hint="eastAsia"/>
                <w:lang w:val="en-US" w:eastAsia="zh-CN"/>
              </w:rPr>
              <w:t>法定代表人身份证明及授权委托书有效，符合征集文件规定的格式，签字、盖章齐全。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575" w:type="dxa"/>
            <w:gridSpan w:val="2"/>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1686" w:type="dxa"/>
            <w:gridSpan w:val="2"/>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2298"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eastAsia="仿宋" w:cs="Arial"/>
                <w:snapToGrid w:val="0"/>
                <w:color w:val="000000"/>
                <w:kern w:val="0"/>
                <w:sz w:val="28"/>
                <w:szCs w:val="21"/>
                <w:lang w:val="en-US" w:eastAsia="zh-CN" w:bidi="ar-SA"/>
              </w:rPr>
            </w:pPr>
            <w:r>
              <w:rPr>
                <w:rFonts w:hint="eastAsia"/>
                <w:lang w:val="en-US" w:eastAsia="zh-CN"/>
              </w:rPr>
              <w:t>投标文件编制</w:t>
            </w:r>
          </w:p>
        </w:tc>
        <w:tc>
          <w:tcPr>
            <w:tcW w:w="3686"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both"/>
              <w:textAlignment w:val="baseline"/>
              <w:rPr>
                <w:rFonts w:hint="eastAsia" w:ascii="Arial" w:hAnsi="Arial" w:eastAsia="仿宋" w:cs="Arial"/>
                <w:snapToGrid w:val="0"/>
                <w:color w:val="000000"/>
                <w:kern w:val="0"/>
                <w:sz w:val="28"/>
                <w:szCs w:val="21"/>
                <w:lang w:val="en-US" w:eastAsia="zh-CN" w:bidi="ar-SA"/>
              </w:rPr>
            </w:pPr>
            <w:r>
              <w:rPr>
                <w:rFonts w:hint="eastAsia"/>
                <w:lang w:val="en-US" w:eastAsia="zh-CN"/>
              </w:rPr>
              <w:t>符合征集文件规定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575" w:type="dxa"/>
            <w:gridSpan w:val="2"/>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1686" w:type="dxa"/>
            <w:gridSpan w:val="2"/>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2298"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eastAsia="仿宋" w:cs="Arial"/>
                <w:snapToGrid w:val="0"/>
                <w:color w:val="000000"/>
                <w:kern w:val="0"/>
                <w:sz w:val="28"/>
                <w:szCs w:val="21"/>
                <w:lang w:val="en-US" w:eastAsia="zh-CN" w:bidi="ar-SA"/>
              </w:rPr>
            </w:pPr>
            <w:r>
              <w:rPr>
                <w:rFonts w:hint="eastAsia"/>
                <w:lang w:val="en-US" w:eastAsia="zh-CN"/>
              </w:rPr>
              <w:t>是否含有征集人不能接受的附加条件</w:t>
            </w:r>
          </w:p>
        </w:tc>
        <w:tc>
          <w:tcPr>
            <w:tcW w:w="3686"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Arial" w:hAnsi="Arial" w:eastAsia="仿宋" w:cs="Arial"/>
                <w:snapToGrid w:val="0"/>
                <w:color w:val="000000"/>
                <w:kern w:val="0"/>
                <w:sz w:val="28"/>
                <w:szCs w:val="21"/>
                <w:lang w:val="en-US" w:eastAsia="zh-CN" w:bidi="ar-SA"/>
              </w:rPr>
            </w:pPr>
            <w:r>
              <w:rPr>
                <w:rFonts w:hint="eastAsia"/>
                <w:lang w:val="en-US" w:eastAsia="zh-CN"/>
              </w:rPr>
              <w:t>未发现含有征集人不能接受的附加条件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575" w:type="dxa"/>
            <w:gridSpan w:val="2"/>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1686" w:type="dxa"/>
            <w:gridSpan w:val="2"/>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2298"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baseline"/>
              <w:rPr>
                <w:rFonts w:hint="eastAsia" w:ascii="Arial" w:hAnsi="Arial" w:eastAsia="仿宋" w:cs="Arial"/>
                <w:snapToGrid w:val="0"/>
                <w:color w:val="000000"/>
                <w:kern w:val="0"/>
                <w:sz w:val="28"/>
                <w:szCs w:val="21"/>
                <w:lang w:val="en-US" w:eastAsia="zh-CN" w:bidi="ar-SA"/>
              </w:rPr>
            </w:pPr>
            <w:r>
              <w:rPr>
                <w:rFonts w:hint="eastAsia"/>
                <w:lang w:val="en-US" w:eastAsia="zh-CN"/>
              </w:rPr>
              <w:t>法律、法规和征集文件规定的其他无效情形</w:t>
            </w:r>
          </w:p>
        </w:tc>
        <w:tc>
          <w:tcPr>
            <w:tcW w:w="3686"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both"/>
              <w:textAlignment w:val="baseline"/>
              <w:rPr>
                <w:rFonts w:hint="eastAsia" w:ascii="Arial" w:hAnsi="Arial" w:eastAsia="仿宋" w:cs="Arial"/>
                <w:snapToGrid w:val="0"/>
                <w:color w:val="000000"/>
                <w:kern w:val="0"/>
                <w:sz w:val="28"/>
                <w:szCs w:val="21"/>
                <w:lang w:val="en-US" w:eastAsia="zh-CN" w:bidi="ar-SA"/>
              </w:rPr>
            </w:pPr>
            <w:r>
              <w:rPr>
                <w:rFonts w:hint="eastAsia"/>
                <w:lang w:val="en-US" w:eastAsia="zh-CN"/>
              </w:rPr>
              <w:t>未发现法律、法规和征集文件规定的其他无效情形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 w:hRule="atLeast"/>
        </w:trPr>
        <w:tc>
          <w:tcPr>
            <w:tcW w:w="575" w:type="dxa"/>
            <w:gridSpan w:val="2"/>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1686" w:type="dxa"/>
            <w:gridSpan w:val="2"/>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p>
        </w:tc>
        <w:tc>
          <w:tcPr>
            <w:tcW w:w="2298"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both"/>
              <w:textAlignment w:val="baseline"/>
              <w:rPr>
                <w:rFonts w:hint="eastAsia"/>
                <w:lang w:val="en-US" w:eastAsia="zh-CN"/>
              </w:rPr>
            </w:pPr>
            <w:r>
              <w:rPr>
                <w:rFonts w:hint="eastAsia"/>
                <w:lang w:val="en-US" w:eastAsia="zh-CN"/>
              </w:rPr>
              <w:t>投标有效期</w:t>
            </w:r>
          </w:p>
        </w:tc>
        <w:tc>
          <w:tcPr>
            <w:tcW w:w="368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lang w:val="en-US" w:eastAsia="zh-CN"/>
              </w:rPr>
            </w:pPr>
            <w:r>
              <w:rPr>
                <w:rFonts w:hint="eastAsia"/>
                <w:lang w:val="en-US" w:eastAsia="zh-CN"/>
              </w:rPr>
              <w:t>90 日历日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3" w:type="dxa"/>
          <w:trHeight w:val="0" w:hRule="atLeast"/>
          <w:tblHeader/>
        </w:trPr>
        <w:tc>
          <w:tcPr>
            <w:tcW w:w="552" w:type="dxa"/>
            <w:textDirection w:val="tbRlV"/>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Arial" w:hAnsi="Arial"/>
                <w:b/>
                <w:lang w:val="en-US" w:eastAsia="zh-CN"/>
              </w:rPr>
            </w:pPr>
            <w:r>
              <w:rPr>
                <w:rFonts w:hint="eastAsia" w:ascii="Arial" w:hAnsi="Arial"/>
                <w:b/>
                <w:lang w:val="en-US" w:eastAsia="zh-CN"/>
              </w:rPr>
              <w:t>序号</w:t>
            </w:r>
          </w:p>
        </w:tc>
        <w:tc>
          <w:tcPr>
            <w:tcW w:w="82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Arial" w:hAnsi="Arial"/>
                <w:b/>
                <w:lang w:val="en-US" w:eastAsia="zh-CN"/>
              </w:rPr>
            </w:pPr>
            <w:r>
              <w:rPr>
                <w:rFonts w:hint="eastAsia" w:ascii="Arial" w:hAnsi="Arial"/>
                <w:b/>
                <w:lang w:val="en-US" w:eastAsia="zh-CN"/>
              </w:rPr>
              <w:t>评分项目</w:t>
            </w:r>
          </w:p>
        </w:tc>
        <w:tc>
          <w:tcPr>
            <w:tcW w:w="857"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Arial" w:hAnsi="Arial"/>
                <w:b/>
                <w:lang w:val="en-US" w:eastAsia="zh-CN"/>
              </w:rPr>
            </w:pPr>
            <w:r>
              <w:rPr>
                <w:rFonts w:hint="eastAsia" w:ascii="Arial" w:hAnsi="Arial"/>
                <w:b/>
                <w:lang w:val="en-US" w:eastAsia="zh-CN"/>
              </w:rPr>
              <w:t>基准分值</w:t>
            </w:r>
          </w:p>
        </w:tc>
        <w:tc>
          <w:tcPr>
            <w:tcW w:w="5984"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Arial" w:hAnsi="Arial"/>
                <w:b/>
                <w:lang w:val="en-US" w:eastAsia="zh-CN"/>
              </w:rPr>
            </w:pPr>
            <w:r>
              <w:rPr>
                <w:rFonts w:hint="eastAsia" w:ascii="Arial" w:hAnsi="Arial"/>
                <w:b/>
                <w:lang w:val="en-US" w:eastAsia="zh-CN"/>
              </w:rPr>
              <w:t>评分标准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3" w:type="dxa"/>
          <w:trHeight w:val="0" w:hRule="atLeast"/>
        </w:trPr>
        <w:tc>
          <w:tcPr>
            <w:tcW w:w="5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Arial" w:hAnsi="Arial"/>
                <w:lang w:val="en-US" w:eastAsia="zh-CN"/>
              </w:rPr>
            </w:pPr>
            <w:r>
              <w:rPr>
                <w:rFonts w:hint="eastAsia" w:ascii="Arial" w:hAnsi="Arial"/>
                <w:lang w:val="en-US" w:eastAsia="zh-CN"/>
              </w:rPr>
              <w:t>1</w:t>
            </w:r>
          </w:p>
        </w:tc>
        <w:tc>
          <w:tcPr>
            <w:tcW w:w="82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Arial" w:hAnsi="Arial"/>
                <w:lang w:val="en-US" w:eastAsia="zh-CN"/>
              </w:rPr>
            </w:pPr>
            <w:r>
              <w:rPr>
                <w:rFonts w:hint="eastAsia" w:ascii="Arial" w:hAnsi="Arial"/>
                <w:lang w:val="en-US" w:eastAsia="zh-CN"/>
              </w:rPr>
              <w:t>分值构成</w:t>
            </w:r>
          </w:p>
        </w:tc>
        <w:tc>
          <w:tcPr>
            <w:tcW w:w="857"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Arial" w:hAnsi="Arial"/>
                <w:lang w:val="en-US" w:eastAsia="zh-CN"/>
              </w:rPr>
            </w:pPr>
            <w:r>
              <w:rPr>
                <w:rFonts w:hint="eastAsia" w:ascii="Arial" w:hAnsi="Arial"/>
                <w:lang w:val="en-US" w:eastAsia="zh-CN"/>
              </w:rPr>
              <w:t>100</w:t>
            </w:r>
          </w:p>
        </w:tc>
        <w:tc>
          <w:tcPr>
            <w:tcW w:w="5984"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Arial" w:hAnsi="Arial"/>
                <w:lang w:val="en-US" w:eastAsia="zh-CN"/>
              </w:rPr>
            </w:pPr>
            <w:r>
              <w:rPr>
                <w:rFonts w:hint="eastAsia" w:ascii="Arial" w:hAnsi="Arial"/>
                <w:lang w:val="en-US" w:eastAsia="zh-CN"/>
              </w:rPr>
              <w:t>价格部分：30分</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Arial" w:hAnsi="Arial"/>
                <w:lang w:val="en-US" w:eastAsia="zh-CN"/>
              </w:rPr>
            </w:pPr>
            <w:r>
              <w:rPr>
                <w:rFonts w:hint="eastAsia" w:ascii="Arial" w:hAnsi="Arial"/>
                <w:lang w:val="en-US" w:eastAsia="zh-CN"/>
              </w:rPr>
              <w:t>商务部分：30分</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Arial" w:hAnsi="Arial"/>
                <w:lang w:val="en-US" w:eastAsia="zh-CN"/>
              </w:rPr>
            </w:pPr>
            <w:r>
              <w:rPr>
                <w:rFonts w:hint="eastAsia" w:ascii="Arial" w:hAnsi="Arial"/>
                <w:lang w:val="en-US" w:eastAsia="zh-CN"/>
              </w:rPr>
              <w:t>技术部分：40分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3" w:type="dxa"/>
          <w:trHeight w:val="0" w:hRule="atLeast"/>
        </w:trPr>
        <w:tc>
          <w:tcPr>
            <w:tcW w:w="5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Arial" w:hAnsi="Arial"/>
                <w:lang w:val="en-US" w:eastAsia="zh-CN"/>
              </w:rPr>
            </w:pPr>
            <w:r>
              <w:rPr>
                <w:rFonts w:hint="eastAsia" w:ascii="Arial" w:hAnsi="Arial"/>
                <w:lang w:val="en-US" w:eastAsia="zh-CN"/>
              </w:rPr>
              <w:t>一</w:t>
            </w:r>
          </w:p>
        </w:tc>
        <w:tc>
          <w:tcPr>
            <w:tcW w:w="82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Arial" w:hAnsi="Arial"/>
                <w:lang w:val="en-US" w:eastAsia="zh-CN"/>
              </w:rPr>
            </w:pPr>
            <w:r>
              <w:rPr>
                <w:rFonts w:hint="eastAsia" w:ascii="Arial" w:hAnsi="Arial"/>
                <w:lang w:val="en-US" w:eastAsia="zh-CN"/>
              </w:rPr>
              <w:t>价格部分（30分）</w:t>
            </w:r>
          </w:p>
        </w:tc>
        <w:tc>
          <w:tcPr>
            <w:tcW w:w="6841" w:type="dxa"/>
            <w:gridSpan w:val="3"/>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aseline"/>
              <w:rPr>
                <w:rFonts w:hint="eastAsia" w:ascii="Arial" w:hAnsi="Arial"/>
                <w:lang w:val="en-US" w:eastAsia="zh-CN"/>
              </w:rPr>
            </w:pPr>
            <w:r>
              <w:rPr>
                <w:rFonts w:hint="eastAsia" w:ascii="Arial" w:hAnsi="Arial"/>
                <w:lang w:val="en-US" w:eastAsia="zh-CN"/>
              </w:rPr>
              <w:t>价格分应当采用低价优先法计算， 即满足招标文件要求且投标价格最低的投标报价为评标基准价，其价格分为满分。其他投标人的价格分统一按照下列公式计算：</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aseline"/>
              <w:rPr>
                <w:rFonts w:hint="eastAsia" w:ascii="Arial" w:hAnsi="Arial"/>
                <w:lang w:val="en-US" w:eastAsia="zh-CN"/>
              </w:rPr>
            </w:pPr>
            <w:r>
              <w:rPr>
                <w:rFonts w:hint="eastAsia" w:ascii="Arial" w:hAnsi="Arial"/>
                <w:lang w:val="en-US" w:eastAsia="zh-CN"/>
              </w:rPr>
              <w:t>投标报价得分=（评标基准价/投标报价） ×100×价格项评审因素所占的权重。因落实政府采购政策进行价格调整的，以调整后的价格计算评标基准价和投标报价。</w:t>
            </w:r>
            <w:r>
              <w:rPr>
                <w:rFonts w:hint="eastAsia" w:ascii="Arial" w:hAnsi="Arial"/>
                <w:b/>
                <w:bCs/>
                <w:lang w:val="en-US" w:eastAsia="zh-CN"/>
              </w:rPr>
              <w:t>注：最低报价不是中标的唯一依据（四舍五入后保留小数点后两位）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3" w:type="dxa"/>
          <w:trHeight w:val="0" w:hRule="atLeast"/>
        </w:trPr>
        <w:tc>
          <w:tcPr>
            <w:tcW w:w="5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Arial" w:hAnsi="Arial"/>
                <w:lang w:val="en-US" w:eastAsia="zh-CN"/>
              </w:rPr>
            </w:pPr>
            <w:r>
              <w:rPr>
                <w:rFonts w:hint="eastAsia" w:ascii="Arial" w:hAnsi="Arial"/>
                <w:lang w:val="en-US" w:eastAsia="zh-CN"/>
              </w:rPr>
              <w:t>二</w:t>
            </w:r>
          </w:p>
        </w:tc>
        <w:tc>
          <w:tcPr>
            <w:tcW w:w="82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Arial" w:hAnsi="Arial"/>
                <w:lang w:val="en-US" w:eastAsia="zh-CN"/>
              </w:rPr>
            </w:pPr>
            <w:r>
              <w:rPr>
                <w:rFonts w:hint="eastAsia" w:ascii="Arial" w:hAnsi="Arial"/>
                <w:lang w:val="en-US" w:eastAsia="zh-CN"/>
              </w:rPr>
              <w:t>技术部分（40分）</w:t>
            </w:r>
          </w:p>
        </w:tc>
        <w:tc>
          <w:tcPr>
            <w:tcW w:w="6841" w:type="dxa"/>
            <w:gridSpan w:val="3"/>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eastAsia" w:ascii="Arial" w:hAnsi="Arial"/>
                <w:lang w:val="en-US" w:eastAsia="zh-CN"/>
              </w:rPr>
            </w:pPr>
            <w:r>
              <w:rPr>
                <w:rFonts w:hint="eastAsia" w:ascii="Arial" w:hAnsi="Arial"/>
                <w:lang w:val="en-US" w:eastAsia="zh-CN"/>
              </w:rPr>
              <w:t>服务方案：结合项目实际需求和特殊性制定工作方案，至少包括：（1）工作流程，（2）程序内容及方法，（3）人员配置及分工，（4）工作组织，（5）工作质量控制，（6）时间计划，以上内容，每一项满分得4分，最高得24分，每有1处不满足或不符合实际情况的扣0.4分扣完为止。</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eastAsia" w:ascii="Arial" w:hAnsi="Arial"/>
                <w:lang w:val="en-US" w:eastAsia="zh-CN"/>
              </w:rPr>
            </w:pPr>
            <w:r>
              <w:rPr>
                <w:rFonts w:hint="eastAsia" w:ascii="Arial" w:hAnsi="Arial"/>
                <w:lang w:val="en-US" w:eastAsia="zh-CN"/>
              </w:rPr>
              <w:t>质量保证与返修承诺：结合项目实际需求和特殊性制定完整、科学、符合项目需求工作进度计划安排，包括但不限于，（1）维修质量保修期，（2）返修承诺及处理机制，（3）质量责任划分及赔偿措施。每一项满分得4分，最高得12分，小项中每有1处不满足或不符合的扣0.4分，扣完为止。</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eastAsia" w:ascii="Arial" w:hAnsi="Arial"/>
                <w:lang w:val="en-US" w:eastAsia="zh-CN"/>
              </w:rPr>
            </w:pPr>
            <w:r>
              <w:rPr>
                <w:rFonts w:hint="eastAsia" w:ascii="Arial" w:hAnsi="Arial"/>
                <w:lang w:val="en-US" w:eastAsia="zh-CN"/>
              </w:rPr>
              <w:t>质量保证与返修承诺：投标人根据项目采购需求和实际服务内容，作出满足采购 需求及项目实际需要的重点难点问题分析得2分；根据相应的问题作出实质性的实施对策得2分，合计得4分。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3" w:type="dxa"/>
          <w:trHeight w:val="0" w:hRule="atLeast"/>
        </w:trPr>
        <w:tc>
          <w:tcPr>
            <w:tcW w:w="55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Arial" w:hAnsi="Arial"/>
                <w:lang w:val="en-US" w:eastAsia="zh-CN"/>
              </w:rPr>
            </w:pPr>
            <w:r>
              <w:rPr>
                <w:rFonts w:hint="eastAsia" w:ascii="Arial" w:hAnsi="Arial"/>
                <w:lang w:val="en-US" w:eastAsia="zh-CN"/>
              </w:rPr>
              <w:t>三</w:t>
            </w:r>
          </w:p>
        </w:tc>
        <w:tc>
          <w:tcPr>
            <w:tcW w:w="829"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Arial" w:hAnsi="Arial"/>
                <w:lang w:val="en-US" w:eastAsia="zh-CN"/>
              </w:rPr>
            </w:pPr>
            <w:r>
              <w:rPr>
                <w:rFonts w:hint="eastAsia" w:ascii="Arial" w:hAnsi="Arial"/>
                <w:lang w:val="en-US" w:eastAsia="zh-CN"/>
              </w:rPr>
              <w:t>商务部分（30分）</w:t>
            </w:r>
          </w:p>
        </w:tc>
        <w:tc>
          <w:tcPr>
            <w:tcW w:w="6841" w:type="dxa"/>
            <w:gridSpan w:val="3"/>
            <w:vAlign w:val="center"/>
          </w:tcPr>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aseline"/>
              <w:rPr>
                <w:rFonts w:hint="eastAsia" w:ascii="Arial" w:hAnsi="Arial"/>
                <w:lang w:val="en-US" w:eastAsia="zh-CN"/>
              </w:rPr>
            </w:pPr>
            <w:r>
              <w:rPr>
                <w:rFonts w:hint="eastAsia" w:ascii="Arial" w:hAnsi="Arial"/>
                <w:lang w:val="en-US" w:eastAsia="zh-CN"/>
              </w:rPr>
              <w:t>近 3 年（以合同签订时间为准）每提供 1 份公务车辆定点维修业绩的得 2分，最高得10分。</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aseline"/>
              <w:rPr>
                <w:rFonts w:hint="eastAsia" w:ascii="Arial" w:hAnsi="Arial"/>
                <w:lang w:val="en-US" w:eastAsia="zh-CN"/>
              </w:rPr>
            </w:pPr>
            <w:r>
              <w:rPr>
                <w:rFonts w:hint="eastAsia" w:ascii="Arial" w:hAnsi="Arial"/>
                <w:lang w:val="en-US" w:eastAsia="zh-CN"/>
              </w:rPr>
              <w:t>拟派入本项目的维修工作人员：机修工、钣金师傅、漆工、电工，提供一名以上人员得2分，最高得10分（提供职业证书、身份证复印件和劳动合同）。</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aseline"/>
              <w:rPr>
                <w:rFonts w:hint="eastAsia" w:ascii="Arial" w:hAnsi="Arial"/>
                <w:lang w:val="en-US" w:eastAsia="zh-CN"/>
              </w:rPr>
            </w:pPr>
            <w:r>
              <w:rPr>
                <w:rFonts w:hint="eastAsia" w:ascii="Arial" w:hAnsi="Arial"/>
                <w:lang w:val="en-US" w:eastAsia="zh-CN"/>
              </w:rPr>
              <w:t>投标人有固定维修场所，提供房屋租聘合同或是不动产登记证书，提供复印件的得5分，不提供不得分。</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aseline"/>
              <w:rPr>
                <w:rFonts w:hint="eastAsia" w:ascii="Arial" w:hAnsi="Arial"/>
                <w:lang w:val="en-US" w:eastAsia="zh-CN"/>
              </w:rPr>
            </w:pPr>
            <w:r>
              <w:rPr>
                <w:rFonts w:hint="eastAsia" w:ascii="Arial" w:hAnsi="Arial"/>
                <w:lang w:val="en-US" w:eastAsia="zh-CN"/>
              </w:rPr>
              <w:t>服务设备（1）具备汽车钣金专用设备（介子机、钣金修复机、大梁校正仪）、喷漆设备（烤漆房、喷枪、干磨机），齐全得2.5分，缺1项扣0.5分，扣完为止。 （2）具备发动机、底盘检测维修设备（解码器、举升机、扒胎机、动平衡机），齐全得2.5分，缺1项扣0.5分，扣完为止。提供相应设备的图片。</w:t>
            </w:r>
          </w:p>
        </w:tc>
      </w:tr>
    </w:tbl>
    <w:p>
      <w:pPr>
        <w:pageBreakBefore w:val="0"/>
        <w:wordWrap/>
        <w:overflowPunct/>
        <w:bidi w:val="0"/>
        <w:spacing w:line="576" w:lineRule="exact"/>
        <w:rPr>
          <w:rFonts w:hint="eastAsia"/>
          <w:lang w:val="en-US" w:eastAsia="zh-CN"/>
        </w:rPr>
      </w:pPr>
      <w:r>
        <w:rPr>
          <w:rFonts w:hint="eastAsia"/>
          <w:lang w:val="en-US" w:eastAsia="zh-CN"/>
        </w:rPr>
        <w:br w:type="page"/>
      </w:r>
    </w:p>
    <w:p>
      <w:pPr>
        <w:pStyle w:val="2"/>
        <w:pageBreakBefore w:val="0"/>
        <w:widowControl/>
        <w:kinsoku w:val="0"/>
        <w:wordWrap/>
        <w:overflowPunct/>
        <w:autoSpaceDE w:val="0"/>
        <w:autoSpaceDN w:val="0"/>
        <w:bidi w:val="0"/>
        <w:adjustRightInd w:val="0"/>
        <w:snapToGrid w:val="0"/>
        <w:spacing w:line="576" w:lineRule="exact"/>
        <w:textAlignment w:val="baseline"/>
        <w:rPr>
          <w:rFonts w:hint="eastAsia" w:ascii="方正小标宋_GBK" w:hAnsi="方正小标宋_GBK" w:eastAsia="方正小标宋_GBK" w:cs="方正小标宋_GBK"/>
          <w:sz w:val="44"/>
          <w:szCs w:val="44"/>
        </w:rPr>
      </w:pPr>
      <w:bookmarkStart w:id="26" w:name="_Toc8990"/>
      <w:bookmarkStart w:id="27" w:name="_Toc5541"/>
      <w:r>
        <w:rPr>
          <w:rFonts w:hint="eastAsia" w:ascii="方正小标宋_GBK" w:hAnsi="方正小标宋_GBK" w:eastAsia="方正小标宋_GBK" w:cs="方正小标宋_GBK"/>
          <w:b/>
          <w:bCs/>
          <w:spacing w:val="-11"/>
          <w:sz w:val="44"/>
          <w:szCs w:val="44"/>
        </w:rPr>
        <w:t>第</w:t>
      </w:r>
      <w:r>
        <w:rPr>
          <w:rFonts w:hint="eastAsia" w:ascii="方正小标宋_GBK" w:hAnsi="方正小标宋_GBK" w:eastAsia="方正小标宋_GBK" w:cs="方正小标宋_GBK"/>
          <w:b/>
          <w:bCs/>
          <w:spacing w:val="-11"/>
          <w:sz w:val="44"/>
          <w:szCs w:val="44"/>
          <w:lang w:val="en-US" w:eastAsia="zh-CN"/>
        </w:rPr>
        <w:t>五</w:t>
      </w:r>
      <w:r>
        <w:rPr>
          <w:rFonts w:hint="eastAsia" w:ascii="方正小标宋_GBK" w:hAnsi="方正小标宋_GBK" w:eastAsia="方正小标宋_GBK" w:cs="方正小标宋_GBK"/>
          <w:b/>
          <w:bCs/>
          <w:spacing w:val="-11"/>
          <w:sz w:val="44"/>
          <w:szCs w:val="44"/>
        </w:rPr>
        <w:t>章</w:t>
      </w:r>
      <w:r>
        <w:rPr>
          <w:rFonts w:hint="eastAsia" w:ascii="方正小标宋_GBK" w:hAnsi="方正小标宋_GBK" w:eastAsia="方正小标宋_GBK" w:cs="方正小标宋_GBK"/>
          <w:spacing w:val="-115"/>
          <w:sz w:val="44"/>
          <w:szCs w:val="44"/>
        </w:rPr>
        <w:t xml:space="preserve"> </w:t>
      </w:r>
      <w:r>
        <w:rPr>
          <w:rFonts w:hint="eastAsia" w:ascii="方正小标宋_GBK" w:hAnsi="方正小标宋_GBK" w:eastAsia="方正小标宋_GBK" w:cs="方正小标宋_GBK"/>
          <w:b/>
          <w:bCs/>
          <w:spacing w:val="-11"/>
          <w:sz w:val="44"/>
          <w:szCs w:val="44"/>
        </w:rPr>
        <w:t>投标文件格式</w:t>
      </w:r>
      <w:bookmarkEnd w:id="26"/>
      <w:bookmarkEnd w:id="27"/>
    </w:p>
    <w:p>
      <w:pPr>
        <w:pageBreakBefore w:val="0"/>
        <w:widowControl/>
        <w:kinsoku w:val="0"/>
        <w:wordWrap/>
        <w:overflowPunct/>
        <w:topLinePunct w:val="0"/>
        <w:autoSpaceDE w:val="0"/>
        <w:autoSpaceDN w:val="0"/>
        <w:bidi w:val="0"/>
        <w:adjustRightInd w:val="0"/>
        <w:snapToGrid w:val="0"/>
        <w:spacing w:before="156" w:line="576" w:lineRule="exact"/>
        <w:ind w:left="0" w:leftChars="0" w:firstLine="0" w:firstLineChars="0"/>
        <w:jc w:val="center"/>
        <w:textAlignment w:val="baseline"/>
        <w:outlineLvl w:val="9"/>
        <w:rPr>
          <w:rFonts w:hint="eastAsia" w:ascii="仿宋" w:hAnsi="仿宋" w:eastAsia="仿宋" w:cs="仿宋"/>
          <w:sz w:val="56"/>
          <w:szCs w:val="56"/>
          <w:lang w:eastAsia="zh-CN"/>
        </w:rPr>
      </w:pPr>
    </w:p>
    <w:p>
      <w:pPr>
        <w:pageBreakBefore w:val="0"/>
        <w:widowControl/>
        <w:kinsoku w:val="0"/>
        <w:wordWrap/>
        <w:overflowPunct/>
        <w:topLinePunct w:val="0"/>
        <w:autoSpaceDE w:val="0"/>
        <w:autoSpaceDN w:val="0"/>
        <w:bidi w:val="0"/>
        <w:adjustRightInd w:val="0"/>
        <w:snapToGrid w:val="0"/>
        <w:spacing w:before="156" w:line="576" w:lineRule="exact"/>
        <w:ind w:left="0" w:leftChars="0" w:firstLine="0" w:firstLineChars="0"/>
        <w:jc w:val="center"/>
        <w:textAlignment w:val="baseline"/>
        <w:outlineLvl w:val="9"/>
        <w:rPr>
          <w:rFonts w:hint="eastAsia" w:ascii="仿宋" w:hAnsi="仿宋" w:eastAsia="仿宋" w:cs="仿宋"/>
          <w:sz w:val="56"/>
          <w:szCs w:val="56"/>
          <w:lang w:eastAsia="zh-CN"/>
        </w:rPr>
      </w:pPr>
      <w:r>
        <w:rPr>
          <w:rFonts w:hint="eastAsia" w:ascii="仿宋" w:hAnsi="仿宋" w:eastAsia="仿宋" w:cs="仿宋"/>
          <w:sz w:val="56"/>
          <w:szCs w:val="56"/>
          <w:lang w:eastAsia="zh-CN"/>
        </w:rPr>
        <w:t>西藏自治区住房和城乡建设厅及厅属单位</w:t>
      </w:r>
      <w:r>
        <w:rPr>
          <w:rFonts w:hint="eastAsia" w:ascii="仿宋" w:hAnsi="仿宋" w:cs="仿宋"/>
          <w:sz w:val="56"/>
          <w:szCs w:val="56"/>
          <w:lang w:eastAsia="zh-CN"/>
        </w:rPr>
        <w:t>公务用车定点维修</w:t>
      </w:r>
    </w:p>
    <w:p>
      <w:pPr>
        <w:pageBreakBefore w:val="0"/>
        <w:widowControl/>
        <w:kinsoku w:val="0"/>
        <w:wordWrap/>
        <w:overflowPunct/>
        <w:topLinePunct w:val="0"/>
        <w:autoSpaceDE w:val="0"/>
        <w:autoSpaceDN w:val="0"/>
        <w:bidi w:val="0"/>
        <w:adjustRightInd w:val="0"/>
        <w:snapToGrid w:val="0"/>
        <w:spacing w:before="156" w:line="576" w:lineRule="exact"/>
        <w:jc w:val="center"/>
        <w:textAlignment w:val="baseline"/>
        <w:outlineLvl w:val="9"/>
        <w:rPr>
          <w:rFonts w:ascii="仿宋" w:hAnsi="仿宋" w:eastAsia="仿宋" w:cs="仿宋"/>
          <w:b/>
          <w:bCs/>
          <w:spacing w:val="-8"/>
          <w:sz w:val="48"/>
          <w:szCs w:val="48"/>
        </w:rPr>
      </w:pPr>
    </w:p>
    <w:p>
      <w:pPr>
        <w:pageBreakBefore w:val="0"/>
        <w:widowControl/>
        <w:tabs>
          <w:tab w:val="left" w:pos="3600"/>
          <w:tab w:val="left" w:pos="4480"/>
          <w:tab w:val="left" w:pos="5360"/>
        </w:tabs>
        <w:kinsoku w:val="0"/>
        <w:wordWrap/>
        <w:overflowPunct/>
        <w:autoSpaceDE w:val="0"/>
        <w:autoSpaceDN w:val="0"/>
        <w:bidi w:val="0"/>
        <w:adjustRightInd w:val="0"/>
        <w:snapToGrid w:val="0"/>
        <w:spacing w:line="576" w:lineRule="exact"/>
        <w:ind w:firstLine="940"/>
        <w:jc w:val="both"/>
        <w:textAlignment w:val="baseline"/>
        <w:rPr>
          <w:rFonts w:hint="eastAsia" w:hAnsi="宋体" w:cs="宋体"/>
          <w:bCs/>
          <w:color w:val="000000"/>
          <w:sz w:val="47"/>
          <w:highlight w:val="none"/>
          <w:u w:val="single"/>
        </w:rPr>
      </w:pPr>
    </w:p>
    <w:p>
      <w:pPr>
        <w:pageBreakBefore w:val="0"/>
        <w:widowControl/>
        <w:tabs>
          <w:tab w:val="left" w:pos="3600"/>
          <w:tab w:val="left" w:pos="4480"/>
          <w:tab w:val="left" w:pos="5360"/>
        </w:tabs>
        <w:kinsoku w:val="0"/>
        <w:wordWrap/>
        <w:overflowPunct/>
        <w:autoSpaceDE w:val="0"/>
        <w:autoSpaceDN w:val="0"/>
        <w:bidi w:val="0"/>
        <w:adjustRightInd w:val="0"/>
        <w:snapToGrid w:val="0"/>
        <w:spacing w:line="576" w:lineRule="exact"/>
        <w:jc w:val="left"/>
        <w:textAlignment w:val="baseline"/>
        <w:rPr>
          <w:rFonts w:hint="eastAsia" w:hAnsi="宋体" w:cs="宋体"/>
          <w:bCs/>
          <w:color w:val="000000"/>
          <w:sz w:val="44"/>
          <w:szCs w:val="44"/>
          <w:highlight w:val="none"/>
        </w:rPr>
      </w:pPr>
    </w:p>
    <w:p>
      <w:pPr>
        <w:keepNext w:val="0"/>
        <w:keepLines w:val="0"/>
        <w:pageBreakBefore w:val="0"/>
        <w:widowControl/>
        <w:tabs>
          <w:tab w:val="left" w:pos="3600"/>
          <w:tab w:val="left" w:pos="4480"/>
          <w:tab w:val="left" w:pos="5360"/>
        </w:tabs>
        <w:kinsoku w:val="0"/>
        <w:wordWrap/>
        <w:overflowPunct/>
        <w:topLinePunct w:val="0"/>
        <w:autoSpaceDE w:val="0"/>
        <w:autoSpaceDN w:val="0"/>
        <w:bidi w:val="0"/>
        <w:adjustRightInd w:val="0"/>
        <w:snapToGrid w:val="0"/>
        <w:spacing w:line="480" w:lineRule="auto"/>
        <w:ind w:firstLine="0" w:firstLineChars="0"/>
        <w:jc w:val="center"/>
        <w:textAlignment w:val="baseline"/>
        <w:rPr>
          <w:rFonts w:hint="eastAsia" w:hAnsi="宋体" w:cs="宋体"/>
          <w:bCs/>
          <w:color w:val="000000"/>
          <w:sz w:val="84"/>
          <w:szCs w:val="84"/>
          <w:highlight w:val="none"/>
        </w:rPr>
      </w:pPr>
      <w:r>
        <w:rPr>
          <w:rFonts w:hint="eastAsia" w:hAnsi="宋体" w:cs="宋体"/>
          <w:bCs/>
          <w:color w:val="000000"/>
          <w:sz w:val="84"/>
          <w:szCs w:val="84"/>
          <w:highlight w:val="none"/>
        </w:rPr>
        <w:t>投 标 文 件</w:t>
      </w:r>
    </w:p>
    <w:p>
      <w:pPr>
        <w:pStyle w:val="4"/>
        <w:pageBreakBefore w:val="0"/>
        <w:widowControl/>
        <w:kinsoku w:val="0"/>
        <w:wordWrap/>
        <w:overflowPunct/>
        <w:autoSpaceDE w:val="0"/>
        <w:autoSpaceDN w:val="0"/>
        <w:bidi w:val="0"/>
        <w:adjustRightInd w:val="0"/>
        <w:snapToGrid w:val="0"/>
        <w:spacing w:after="0" w:line="576" w:lineRule="exact"/>
        <w:ind w:firstLine="551"/>
        <w:textAlignment w:val="baseline"/>
        <w:rPr>
          <w:rFonts w:hint="eastAsia" w:ascii="宋体" w:hAnsi="宋体" w:cs="宋体"/>
          <w:bCs/>
          <w:color w:val="000000"/>
          <w:w w:val="99"/>
          <w:sz w:val="28"/>
          <w:szCs w:val="28"/>
          <w:highlight w:val="none"/>
        </w:rPr>
      </w:pPr>
    </w:p>
    <w:p>
      <w:pPr>
        <w:pStyle w:val="10"/>
        <w:pageBreakBefore w:val="0"/>
        <w:widowControl/>
        <w:kinsoku w:val="0"/>
        <w:wordWrap/>
        <w:overflowPunct/>
        <w:autoSpaceDE w:val="0"/>
        <w:autoSpaceDN w:val="0"/>
        <w:bidi w:val="0"/>
        <w:adjustRightInd w:val="0"/>
        <w:snapToGrid w:val="0"/>
        <w:spacing w:line="576" w:lineRule="exact"/>
        <w:textAlignment w:val="baseline"/>
        <w:rPr>
          <w:rFonts w:hint="eastAsia" w:ascii="宋体" w:hAnsi="宋体" w:cs="宋体"/>
          <w:bCs/>
          <w:color w:val="000000"/>
          <w:w w:val="99"/>
          <w:sz w:val="28"/>
          <w:szCs w:val="28"/>
          <w:highlight w:val="none"/>
        </w:rPr>
      </w:pPr>
    </w:p>
    <w:p>
      <w:pPr>
        <w:pageBreakBefore w:val="0"/>
        <w:widowControl/>
        <w:kinsoku w:val="0"/>
        <w:wordWrap/>
        <w:overflowPunct/>
        <w:autoSpaceDE w:val="0"/>
        <w:autoSpaceDN w:val="0"/>
        <w:bidi w:val="0"/>
        <w:adjustRightInd w:val="0"/>
        <w:snapToGrid w:val="0"/>
        <w:spacing w:line="576" w:lineRule="exact"/>
        <w:textAlignment w:val="baseline"/>
        <w:rPr>
          <w:rFonts w:hint="eastAsia" w:ascii="宋体" w:hAnsi="宋体" w:cs="宋体"/>
          <w:bCs/>
          <w:color w:val="000000"/>
          <w:w w:val="99"/>
          <w:sz w:val="28"/>
          <w:szCs w:val="28"/>
          <w:highlight w:val="none"/>
        </w:rPr>
      </w:pPr>
    </w:p>
    <w:p>
      <w:pPr>
        <w:pageBreakBefore w:val="0"/>
        <w:widowControl/>
        <w:kinsoku w:val="0"/>
        <w:wordWrap/>
        <w:overflowPunct/>
        <w:autoSpaceDE w:val="0"/>
        <w:autoSpaceDN w:val="0"/>
        <w:bidi w:val="0"/>
        <w:adjustRightInd w:val="0"/>
        <w:snapToGrid w:val="0"/>
        <w:spacing w:line="576" w:lineRule="exact"/>
        <w:textAlignment w:val="baseline"/>
        <w:rPr>
          <w:rFonts w:hint="eastAsia" w:ascii="宋体" w:hAnsi="宋体" w:cs="宋体"/>
          <w:bCs/>
          <w:color w:val="000000"/>
          <w:w w:val="99"/>
          <w:sz w:val="28"/>
          <w:szCs w:val="28"/>
          <w:highlight w:val="none"/>
        </w:rPr>
      </w:pPr>
    </w:p>
    <w:p>
      <w:pPr>
        <w:pageBreakBefore w:val="0"/>
        <w:widowControl/>
        <w:kinsoku w:val="0"/>
        <w:wordWrap/>
        <w:overflowPunct/>
        <w:autoSpaceDE w:val="0"/>
        <w:autoSpaceDN w:val="0"/>
        <w:bidi w:val="0"/>
        <w:adjustRightInd w:val="0"/>
        <w:snapToGrid w:val="0"/>
        <w:spacing w:line="576" w:lineRule="exact"/>
        <w:textAlignment w:val="baseline"/>
        <w:rPr>
          <w:rFonts w:hint="eastAsia" w:ascii="宋体" w:hAnsi="宋体" w:cs="宋体"/>
          <w:bCs/>
          <w:color w:val="000000"/>
          <w:w w:val="99"/>
          <w:sz w:val="28"/>
          <w:szCs w:val="28"/>
          <w:highlight w:val="none"/>
        </w:rPr>
      </w:pPr>
    </w:p>
    <w:p>
      <w:pPr>
        <w:pageBreakBefore w:val="0"/>
        <w:widowControl/>
        <w:kinsoku w:val="0"/>
        <w:wordWrap/>
        <w:overflowPunct/>
        <w:autoSpaceDE w:val="0"/>
        <w:autoSpaceDN w:val="0"/>
        <w:bidi w:val="0"/>
        <w:adjustRightInd w:val="0"/>
        <w:snapToGrid w:val="0"/>
        <w:spacing w:line="576" w:lineRule="exact"/>
        <w:textAlignment w:val="baseline"/>
        <w:rPr>
          <w:rFonts w:hint="eastAsia" w:ascii="宋体" w:hAnsi="宋体" w:cs="宋体"/>
          <w:bCs/>
          <w:color w:val="000000"/>
          <w:w w:val="99"/>
          <w:sz w:val="28"/>
          <w:szCs w:val="28"/>
          <w:highlight w:val="none"/>
        </w:rPr>
      </w:pPr>
    </w:p>
    <w:p>
      <w:pPr>
        <w:pStyle w:val="10"/>
        <w:pageBreakBefore w:val="0"/>
        <w:widowControl/>
        <w:kinsoku w:val="0"/>
        <w:wordWrap/>
        <w:overflowPunct/>
        <w:autoSpaceDE w:val="0"/>
        <w:autoSpaceDN w:val="0"/>
        <w:bidi w:val="0"/>
        <w:adjustRightInd w:val="0"/>
        <w:snapToGrid w:val="0"/>
        <w:spacing w:before="0" w:after="0" w:line="576" w:lineRule="exact"/>
        <w:ind w:firstLine="210"/>
        <w:textAlignment w:val="baseline"/>
        <w:rPr>
          <w:rFonts w:hint="eastAsia" w:ascii="宋体" w:eastAsia="宋体" w:cs="宋体"/>
          <w:bCs/>
          <w:color w:val="000000"/>
          <w:highlight w:val="none"/>
        </w:rPr>
      </w:pPr>
    </w:p>
    <w:p>
      <w:pPr>
        <w:pageBreakBefore w:val="0"/>
        <w:widowControl/>
        <w:tabs>
          <w:tab w:val="left" w:pos="6080"/>
          <w:tab w:val="left" w:pos="6640"/>
        </w:tabs>
        <w:kinsoku w:val="0"/>
        <w:wordWrap/>
        <w:overflowPunct/>
        <w:autoSpaceDE w:val="0"/>
        <w:autoSpaceDN w:val="0"/>
        <w:bidi w:val="0"/>
        <w:adjustRightInd w:val="0"/>
        <w:snapToGrid w:val="0"/>
        <w:spacing w:line="576" w:lineRule="exact"/>
        <w:ind w:left="0" w:leftChars="0" w:firstLine="0" w:firstLineChars="0"/>
        <w:textAlignment w:val="baseline"/>
        <w:rPr>
          <w:rFonts w:hint="eastAsia" w:hAnsi="宋体" w:cs="宋体"/>
          <w:bCs/>
          <w:color w:val="000000"/>
          <w:w w:val="99"/>
          <w:sz w:val="36"/>
          <w:szCs w:val="36"/>
          <w:highlight w:val="none"/>
        </w:rPr>
      </w:pPr>
      <w:r>
        <w:rPr>
          <w:rFonts w:hint="eastAsia" w:hAnsi="宋体" w:cs="宋体"/>
          <w:bCs/>
          <w:color w:val="000000"/>
          <w:w w:val="99"/>
          <w:sz w:val="36"/>
          <w:szCs w:val="36"/>
          <w:highlight w:val="none"/>
        </w:rPr>
        <w:t>投标人</w:t>
      </w:r>
      <w:r>
        <w:rPr>
          <w:rFonts w:hint="eastAsia" w:hAnsi="宋体" w:cs="宋体"/>
          <w:bCs/>
          <w:color w:val="000000"/>
          <w:spacing w:val="1"/>
          <w:w w:val="99"/>
          <w:sz w:val="36"/>
          <w:szCs w:val="36"/>
          <w:highlight w:val="none"/>
        </w:rPr>
        <w:t>：</w:t>
      </w:r>
      <w:r>
        <w:rPr>
          <w:rFonts w:hint="eastAsia" w:hAnsi="宋体" w:cs="宋体"/>
          <w:bCs/>
          <w:color w:val="000000"/>
          <w:w w:val="198"/>
          <w:sz w:val="36"/>
          <w:szCs w:val="36"/>
          <w:highlight w:val="none"/>
          <w:u w:val="single"/>
        </w:rPr>
        <w:t xml:space="preserve"> 　　　</w:t>
      </w:r>
      <w:r>
        <w:rPr>
          <w:rFonts w:hint="eastAsia" w:hAnsi="宋体" w:cs="宋体"/>
          <w:bCs/>
          <w:color w:val="000000"/>
          <w:w w:val="99"/>
          <w:sz w:val="36"/>
          <w:szCs w:val="36"/>
          <w:highlight w:val="none"/>
        </w:rPr>
        <w:t>（盖单位公章）</w:t>
      </w:r>
    </w:p>
    <w:p>
      <w:pPr>
        <w:pageBreakBefore w:val="0"/>
        <w:widowControl/>
        <w:tabs>
          <w:tab w:val="left" w:pos="6080"/>
          <w:tab w:val="left" w:pos="6640"/>
        </w:tabs>
        <w:kinsoku w:val="0"/>
        <w:wordWrap/>
        <w:overflowPunct/>
        <w:autoSpaceDE w:val="0"/>
        <w:autoSpaceDN w:val="0"/>
        <w:bidi w:val="0"/>
        <w:adjustRightInd w:val="0"/>
        <w:snapToGrid w:val="0"/>
        <w:spacing w:line="576" w:lineRule="exact"/>
        <w:ind w:left="0" w:leftChars="0" w:firstLine="0" w:firstLineChars="0"/>
        <w:textAlignment w:val="baseline"/>
        <w:rPr>
          <w:rFonts w:hint="eastAsia" w:hAnsi="宋体" w:cs="宋体"/>
          <w:bCs/>
          <w:color w:val="000000"/>
          <w:sz w:val="36"/>
          <w:szCs w:val="36"/>
          <w:highlight w:val="none"/>
        </w:rPr>
      </w:pPr>
      <w:r>
        <w:rPr>
          <w:rFonts w:hint="eastAsia" w:hAnsi="宋体" w:cs="宋体"/>
          <w:bCs/>
          <w:color w:val="000000"/>
          <w:w w:val="99"/>
          <w:sz w:val="36"/>
          <w:szCs w:val="36"/>
          <w:highlight w:val="none"/>
        </w:rPr>
        <w:t>法定代表人或其委托代理人：</w:t>
      </w:r>
      <w:r>
        <w:rPr>
          <w:rFonts w:hint="eastAsia" w:hAnsi="宋体" w:cs="宋体"/>
          <w:bCs/>
          <w:color w:val="000000"/>
          <w:w w:val="198"/>
          <w:sz w:val="36"/>
          <w:szCs w:val="36"/>
          <w:highlight w:val="none"/>
          <w:u w:val="single"/>
        </w:rPr>
        <w:t xml:space="preserve">  　</w:t>
      </w:r>
      <w:r>
        <w:rPr>
          <w:rFonts w:hint="eastAsia" w:hAnsi="宋体" w:cs="宋体"/>
          <w:bCs/>
          <w:color w:val="000000"/>
          <w:w w:val="99"/>
          <w:sz w:val="36"/>
          <w:szCs w:val="36"/>
          <w:highlight w:val="none"/>
        </w:rPr>
        <w:t>（签      字）</w:t>
      </w:r>
    </w:p>
    <w:p>
      <w:pPr>
        <w:pageBreakBefore w:val="0"/>
        <w:widowControl/>
        <w:tabs>
          <w:tab w:val="left" w:pos="3280"/>
          <w:tab w:val="left" w:pos="4680"/>
          <w:tab w:val="left" w:pos="6080"/>
        </w:tabs>
        <w:kinsoku w:val="0"/>
        <w:wordWrap/>
        <w:overflowPunct/>
        <w:autoSpaceDE w:val="0"/>
        <w:autoSpaceDN w:val="0"/>
        <w:bidi w:val="0"/>
        <w:adjustRightInd w:val="0"/>
        <w:snapToGrid w:val="0"/>
        <w:spacing w:line="576" w:lineRule="exact"/>
        <w:ind w:left="0" w:leftChars="0" w:firstLine="0" w:firstLineChars="0"/>
        <w:textAlignment w:val="baseline"/>
        <w:rPr>
          <w:rFonts w:hint="eastAsia" w:hAnsi="宋体" w:cs="宋体"/>
          <w:bCs/>
          <w:color w:val="000000"/>
          <w:w w:val="99"/>
          <w:sz w:val="36"/>
          <w:szCs w:val="36"/>
          <w:highlight w:val="none"/>
        </w:rPr>
      </w:pPr>
      <w:r>
        <w:rPr>
          <w:rFonts w:hint="eastAsia" w:hAnsi="宋体" w:cs="宋体"/>
          <w:bCs/>
          <w:color w:val="000000"/>
          <w:w w:val="99"/>
          <w:sz w:val="36"/>
          <w:szCs w:val="36"/>
          <w:highlight w:val="none"/>
        </w:rPr>
        <w:t>时  间：</w:t>
      </w:r>
      <w:r>
        <w:rPr>
          <w:rFonts w:hint="eastAsia" w:hAnsi="宋体" w:cs="宋体"/>
          <w:bCs/>
          <w:color w:val="000000"/>
          <w:w w:val="99"/>
          <w:sz w:val="36"/>
          <w:szCs w:val="36"/>
          <w:highlight w:val="none"/>
          <w:u w:val="single"/>
        </w:rPr>
        <w:t xml:space="preserve">       </w:t>
      </w:r>
      <w:r>
        <w:rPr>
          <w:rFonts w:hint="eastAsia" w:hAnsi="宋体" w:cs="宋体"/>
          <w:bCs/>
          <w:color w:val="000000"/>
          <w:w w:val="99"/>
          <w:sz w:val="36"/>
          <w:szCs w:val="36"/>
          <w:highlight w:val="none"/>
        </w:rPr>
        <w:t>年</w:t>
      </w:r>
      <w:r>
        <w:rPr>
          <w:rFonts w:hint="eastAsia" w:hAnsi="宋体" w:cs="宋体"/>
          <w:bCs/>
          <w:color w:val="000000"/>
          <w:w w:val="198"/>
          <w:sz w:val="36"/>
          <w:szCs w:val="36"/>
          <w:highlight w:val="none"/>
          <w:u w:val="single"/>
        </w:rPr>
        <w:t xml:space="preserve">  </w:t>
      </w:r>
      <w:r>
        <w:rPr>
          <w:rFonts w:hint="eastAsia" w:hAnsi="宋体" w:cs="宋体"/>
          <w:bCs/>
          <w:color w:val="000000"/>
          <w:w w:val="99"/>
          <w:sz w:val="36"/>
          <w:szCs w:val="36"/>
          <w:highlight w:val="none"/>
        </w:rPr>
        <w:t>月</w:t>
      </w:r>
      <w:r>
        <w:rPr>
          <w:rFonts w:hint="eastAsia" w:hAnsi="宋体" w:cs="宋体"/>
          <w:bCs/>
          <w:color w:val="000000"/>
          <w:w w:val="198"/>
          <w:sz w:val="36"/>
          <w:szCs w:val="36"/>
          <w:highlight w:val="none"/>
          <w:u w:val="single"/>
        </w:rPr>
        <w:t xml:space="preserve">  </w:t>
      </w:r>
      <w:r>
        <w:rPr>
          <w:rFonts w:hint="eastAsia" w:hAnsi="宋体" w:cs="宋体"/>
          <w:bCs/>
          <w:color w:val="000000"/>
          <w:w w:val="99"/>
          <w:sz w:val="36"/>
          <w:szCs w:val="36"/>
          <w:highlight w:val="none"/>
        </w:rPr>
        <w:t>日</w:t>
      </w:r>
    </w:p>
    <w:p>
      <w:pPr>
        <w:pageBreakBefore w:val="0"/>
        <w:widowControl/>
        <w:tabs>
          <w:tab w:val="left" w:pos="3280"/>
          <w:tab w:val="left" w:pos="4680"/>
          <w:tab w:val="left" w:pos="6080"/>
        </w:tabs>
        <w:kinsoku w:val="0"/>
        <w:wordWrap/>
        <w:overflowPunct/>
        <w:autoSpaceDE w:val="0"/>
        <w:autoSpaceDN w:val="0"/>
        <w:bidi w:val="0"/>
        <w:adjustRightInd w:val="0"/>
        <w:snapToGrid w:val="0"/>
        <w:spacing w:line="576" w:lineRule="exact"/>
        <w:ind w:firstLine="551"/>
        <w:jc w:val="center"/>
        <w:textAlignment w:val="baseline"/>
        <w:rPr>
          <w:rFonts w:hint="eastAsia" w:hAnsi="宋体" w:cs="宋体"/>
          <w:bCs/>
          <w:color w:val="000000"/>
          <w:w w:val="99"/>
          <w:sz w:val="28"/>
          <w:szCs w:val="28"/>
          <w:highlight w:val="none"/>
        </w:rPr>
      </w:pPr>
    </w:p>
    <w:p>
      <w:pPr>
        <w:pageBreakBefore w:val="0"/>
        <w:widowControl/>
        <w:kinsoku w:val="0"/>
        <w:wordWrap/>
        <w:overflowPunct/>
        <w:autoSpaceDE w:val="0"/>
        <w:autoSpaceDN w:val="0"/>
        <w:bidi w:val="0"/>
        <w:adjustRightInd w:val="0"/>
        <w:snapToGrid w:val="0"/>
        <w:spacing w:line="576" w:lineRule="exact"/>
        <w:ind w:firstLine="640"/>
        <w:textAlignment w:val="baseline"/>
        <w:rPr>
          <w:rFonts w:hint="eastAsia" w:hAnsi="宋体" w:cs="宋体"/>
          <w:bCs/>
          <w:color w:val="000000"/>
          <w:highlight w:val="none"/>
        </w:rPr>
      </w:pPr>
    </w:p>
    <w:p>
      <w:pPr>
        <w:pageBreakBefore w:val="0"/>
        <w:widowControl/>
        <w:kinsoku w:val="0"/>
        <w:wordWrap/>
        <w:overflowPunct/>
        <w:autoSpaceDE w:val="0"/>
        <w:autoSpaceDN w:val="0"/>
        <w:bidi w:val="0"/>
        <w:adjustRightInd w:val="0"/>
        <w:snapToGrid w:val="0"/>
        <w:spacing w:line="576" w:lineRule="exact"/>
        <w:jc w:val="center"/>
        <w:textAlignment w:val="baseline"/>
        <w:rPr>
          <w:rFonts w:hint="eastAsia"/>
        </w:rPr>
      </w:pPr>
      <w:r>
        <w:rPr>
          <w:rFonts w:hint="eastAsia"/>
        </w:rPr>
        <w:t>目录</w:t>
      </w:r>
    </w:p>
    <w:p>
      <w:pPr>
        <w:pageBreakBefore w:val="0"/>
        <w:widowControl/>
        <w:kinsoku w:val="0"/>
        <w:wordWrap/>
        <w:overflowPunct/>
        <w:autoSpaceDE w:val="0"/>
        <w:autoSpaceDN w:val="0"/>
        <w:bidi w:val="0"/>
        <w:adjustRightInd w:val="0"/>
        <w:snapToGrid w:val="0"/>
        <w:spacing w:line="576" w:lineRule="exact"/>
        <w:textAlignment w:val="baseline"/>
        <w:rPr>
          <w:rFonts w:hint="eastAsia"/>
        </w:rPr>
      </w:pPr>
      <w:r>
        <w:rPr>
          <w:rFonts w:hint="eastAsia"/>
        </w:rPr>
        <w:t>投标人应自行根据招标文件要求及自身投标文件编制情况对目录进行细化、并编制页码，格式自拟。</w:t>
      </w:r>
    </w:p>
    <w:p>
      <w:pPr>
        <w:pageBreakBefore w:val="0"/>
        <w:widowControl/>
        <w:kinsoku w:val="0"/>
        <w:wordWrap/>
        <w:overflowPunct/>
        <w:autoSpaceDE w:val="0"/>
        <w:autoSpaceDN w:val="0"/>
        <w:bidi w:val="0"/>
        <w:adjustRightInd w:val="0"/>
        <w:snapToGrid w:val="0"/>
        <w:spacing w:line="576" w:lineRule="exact"/>
        <w:textAlignment w:val="baseline"/>
        <w:rPr>
          <w:rFonts w:hint="eastAsia"/>
        </w:rPr>
      </w:pPr>
    </w:p>
    <w:p>
      <w:pPr>
        <w:pStyle w:val="3"/>
        <w:pageBreakBefore w:val="0"/>
        <w:widowControl/>
        <w:kinsoku w:val="0"/>
        <w:wordWrap/>
        <w:overflowPunct/>
        <w:autoSpaceDE w:val="0"/>
        <w:autoSpaceDN w:val="0"/>
        <w:bidi w:val="0"/>
        <w:adjustRightInd w:val="0"/>
        <w:snapToGrid w:val="0"/>
        <w:spacing w:line="576" w:lineRule="exact"/>
        <w:jc w:val="center"/>
        <w:textAlignment w:val="baseline"/>
        <w:rPr>
          <w:rFonts w:hint="eastAsia" w:ascii="宋体" w:hAnsi="宋体" w:eastAsia="宋体" w:cs="宋体"/>
          <w:b w:val="0"/>
          <w:color w:val="000000"/>
          <w:szCs w:val="21"/>
          <w:highlight w:val="none"/>
          <w:lang w:eastAsia="zh-CN"/>
        </w:rPr>
      </w:pPr>
      <w:r>
        <w:rPr>
          <w:rFonts w:hint="eastAsia" w:ascii="宋体" w:hAnsi="宋体" w:eastAsia="宋体" w:cs="宋体"/>
          <w:b w:val="0"/>
          <w:color w:val="000000"/>
          <w:szCs w:val="21"/>
          <w:highlight w:val="none"/>
          <w:lang w:eastAsia="zh-CN"/>
        </w:rPr>
        <w:t>一、投标函</w:t>
      </w:r>
    </w:p>
    <w:p>
      <w:pPr>
        <w:pStyle w:val="3"/>
        <w:pageBreakBefore w:val="0"/>
        <w:widowControl/>
        <w:kinsoku w:val="0"/>
        <w:wordWrap/>
        <w:overflowPunct/>
        <w:autoSpaceDE w:val="0"/>
        <w:autoSpaceDN w:val="0"/>
        <w:bidi w:val="0"/>
        <w:adjustRightInd w:val="0"/>
        <w:snapToGrid w:val="0"/>
        <w:spacing w:line="576" w:lineRule="exact"/>
        <w:jc w:val="center"/>
        <w:textAlignment w:val="baseline"/>
        <w:rPr>
          <w:rFonts w:hint="eastAsia" w:ascii="CESI仿宋-GB2312" w:hAnsi="CESI仿宋-GB2312" w:eastAsia="CESI仿宋-GB2312" w:cs="CESI仿宋-GB2312"/>
          <w:b w:val="0"/>
          <w:color w:val="000000"/>
          <w:sz w:val="28"/>
          <w:szCs w:val="28"/>
          <w:highlight w:val="none"/>
        </w:rPr>
      </w:pPr>
      <w:r>
        <w:rPr>
          <w:rFonts w:hint="eastAsia" w:ascii="宋体" w:hAnsi="宋体" w:eastAsia="宋体" w:cs="宋体"/>
          <w:b w:val="0"/>
          <w:color w:val="000000"/>
          <w:szCs w:val="21"/>
          <w:highlight w:val="none"/>
        </w:rPr>
        <w:br w:type="page"/>
      </w:r>
      <w:bookmarkStart w:id="28" w:name="_Toc39520163"/>
      <w:bookmarkStart w:id="29" w:name="_Toc14518"/>
      <w:bookmarkStart w:id="30" w:name="_Toc527111467"/>
      <w:bookmarkStart w:id="31" w:name="_Toc435525266"/>
      <w:bookmarkStart w:id="32" w:name="_Toc427169747"/>
      <w:bookmarkStart w:id="33" w:name="_Toc436302271"/>
      <w:bookmarkStart w:id="34" w:name="_Toc437010442"/>
      <w:bookmarkStart w:id="35" w:name="_Toc434572380"/>
      <w:bookmarkStart w:id="36" w:name="_Toc437206921"/>
      <w:bookmarkStart w:id="37" w:name="_Toc527110449"/>
      <w:bookmarkStart w:id="38" w:name="_Toc2853503"/>
      <w:bookmarkStart w:id="39" w:name="_Toc25984"/>
      <w:bookmarkStart w:id="40" w:name="_Toc10407"/>
      <w:r>
        <w:rPr>
          <w:rFonts w:hint="eastAsia" w:ascii="Arial" w:hAnsi="Arial" w:eastAsia="黑体"/>
        </w:rPr>
        <w:t>一、投标函</w:t>
      </w:r>
      <w:bookmarkEnd w:id="28"/>
      <w:bookmarkEnd w:id="29"/>
      <w:bookmarkEnd w:id="30"/>
      <w:bookmarkEnd w:id="31"/>
      <w:bookmarkEnd w:id="32"/>
      <w:bookmarkEnd w:id="33"/>
      <w:bookmarkEnd w:id="34"/>
      <w:bookmarkEnd w:id="35"/>
      <w:bookmarkEnd w:id="36"/>
      <w:bookmarkEnd w:id="37"/>
      <w:bookmarkEnd w:id="38"/>
      <w:bookmarkEnd w:id="39"/>
      <w:bookmarkEnd w:id="40"/>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u w:val="single"/>
        </w:rPr>
      </w:pPr>
      <w:bookmarkStart w:id="41" w:name="_Toc17665"/>
      <w:bookmarkStart w:id="42" w:name="_Toc1550"/>
      <w:r>
        <w:rPr>
          <w:rFonts w:hint="eastAsia" w:ascii="CESI仿宋-GB2312" w:hAnsi="CESI仿宋-GB2312" w:eastAsia="CESI仿宋-GB2312" w:cs="CESI仿宋-GB2312"/>
          <w:bCs/>
          <w:color w:val="000000"/>
          <w:sz w:val="28"/>
          <w:szCs w:val="28"/>
          <w:highlight w:val="none"/>
          <w:u w:val="single"/>
        </w:rPr>
        <w:t xml:space="preserve"> </w:t>
      </w:r>
      <w:r>
        <w:rPr>
          <w:rFonts w:hint="eastAsia" w:ascii="CESI仿宋-GB2312" w:hAnsi="CESI仿宋-GB2312" w:eastAsia="CESI仿宋-GB2312" w:cs="CESI仿宋-GB2312"/>
          <w:bCs/>
          <w:color w:val="000000"/>
          <w:sz w:val="32"/>
          <w:szCs w:val="32"/>
          <w:highlight w:val="none"/>
          <w:u w:val="single"/>
        </w:rPr>
        <w:t>采购人名称  ：</w:t>
      </w:r>
    </w:p>
    <w:p>
      <w:pPr>
        <w:pageBreakBefore w:val="0"/>
        <w:widowControl/>
        <w:tabs>
          <w:tab w:val="left" w:pos="6120"/>
        </w:tabs>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　　</w:t>
      </w:r>
      <w:r>
        <w:rPr>
          <w:rFonts w:hint="eastAsia" w:ascii="CESI仿宋-GB2312" w:hAnsi="CESI仿宋-GB2312" w:cs="CESI仿宋-GB2312"/>
          <w:bCs/>
          <w:color w:val="000000"/>
          <w:sz w:val="32"/>
          <w:szCs w:val="32"/>
          <w:highlight w:val="none"/>
          <w:lang w:val="en-US" w:eastAsia="zh-CN"/>
        </w:rPr>
        <w:t xml:space="preserve"> </w:t>
      </w:r>
      <w:r>
        <w:rPr>
          <w:rFonts w:hint="eastAsia" w:ascii="CESI仿宋-GB2312" w:hAnsi="CESI仿宋-GB2312" w:eastAsia="CESI仿宋-GB2312" w:cs="CESI仿宋-GB2312"/>
          <w:bCs/>
          <w:color w:val="000000"/>
          <w:sz w:val="32"/>
          <w:szCs w:val="32"/>
          <w:highlight w:val="none"/>
        </w:rPr>
        <w:t>______（投标单位全称）授权______（授权代表姓名）________（职务、职称）为授权代表，参加贵单位组织的</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（招标项目）投标的有关活动。为此：</w:t>
      </w:r>
    </w:p>
    <w:p>
      <w:pPr>
        <w:pageBreakBefore w:val="0"/>
        <w:widowControl/>
        <w:kinsoku w:val="0"/>
        <w:wordWrap/>
        <w:overflowPunct/>
        <w:autoSpaceDE w:val="0"/>
        <w:autoSpaceDN w:val="0"/>
        <w:bidi w:val="0"/>
        <w:adjustRightInd w:val="0"/>
        <w:snapToGrid w:val="0"/>
        <w:spacing w:line="576" w:lineRule="exact"/>
        <w:ind w:firstLine="640" w:firstLineChars="200"/>
        <w:jc w:val="left"/>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1.我方已仔细研究了招标文件的全部内容，愿意以</w:t>
      </w:r>
      <w:r>
        <w:rPr>
          <w:rFonts w:hint="eastAsia" w:ascii="CESI仿宋-GB2312" w:hAnsi="CESI仿宋-GB2312" w:cs="CESI仿宋-GB2312"/>
          <w:bCs/>
          <w:color w:val="000000"/>
          <w:sz w:val="32"/>
          <w:szCs w:val="32"/>
          <w:highlight w:val="none"/>
          <w:lang w:eastAsia="zh-CN"/>
        </w:rPr>
        <w:t>下浮率结算</w:t>
      </w:r>
      <w:r>
        <w:rPr>
          <w:rFonts w:hint="eastAsia" w:ascii="CESI仿宋-GB2312" w:hAnsi="CESI仿宋-GB2312" w:eastAsia="CESI仿宋-GB2312" w:cs="CESI仿宋-GB2312"/>
          <w:bCs/>
          <w:color w:val="000000"/>
          <w:sz w:val="32"/>
          <w:szCs w:val="32"/>
          <w:highlight w:val="none"/>
        </w:rPr>
        <w:t>总投标报价</w:t>
      </w:r>
      <w:r>
        <w:rPr>
          <w:rFonts w:hint="eastAsia" w:ascii="CESI仿宋-GB2312" w:hAnsi="CESI仿宋-GB2312" w:cs="CESI仿宋-GB2312"/>
          <w:bCs/>
          <w:color w:val="000000"/>
          <w:sz w:val="32"/>
          <w:szCs w:val="32"/>
          <w:highlight w:val="none"/>
          <w:lang w:eastAsia="zh-CN"/>
        </w:rPr>
        <w:t>为</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cs="CESI仿宋-GB2312"/>
          <w:bCs/>
          <w:color w:val="000000"/>
          <w:sz w:val="32"/>
          <w:szCs w:val="32"/>
          <w:highlight w:val="none"/>
          <w:u w:val="single"/>
          <w:lang w:val="en-US" w:eastAsia="zh-CN"/>
        </w:rPr>
        <w:t>%</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，按合同约定实施和完成项目，修补项目的任何缺陷，达到质量要求。</w:t>
      </w:r>
    </w:p>
    <w:p>
      <w:pPr>
        <w:pageBreakBefore w:val="0"/>
        <w:widowControl/>
        <w:kinsoku w:val="0"/>
        <w:wordWrap/>
        <w:overflowPunct/>
        <w:autoSpaceDE w:val="0"/>
        <w:autoSpaceDN w:val="0"/>
        <w:bidi w:val="0"/>
        <w:adjustRightInd w:val="0"/>
        <w:snapToGrid w:val="0"/>
        <w:spacing w:line="576" w:lineRule="exact"/>
        <w:ind w:firstLine="640" w:firstLineChars="200"/>
        <w:jc w:val="left"/>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2.我方承诺在投标有效期</w:t>
      </w:r>
      <w:r>
        <w:rPr>
          <w:rFonts w:hint="eastAsia" w:ascii="CESI仿宋-GB2312" w:hAnsi="CESI仿宋-GB2312" w:eastAsia="CESI仿宋-GB2312" w:cs="CESI仿宋-GB2312"/>
          <w:bCs/>
          <w:color w:val="000000"/>
          <w:sz w:val="32"/>
          <w:szCs w:val="32"/>
          <w:highlight w:val="none"/>
          <w:u w:val="single"/>
        </w:rPr>
        <w:t xml:space="preserve">      天</w:t>
      </w:r>
      <w:r>
        <w:rPr>
          <w:rFonts w:hint="eastAsia" w:ascii="CESI仿宋-GB2312" w:hAnsi="CESI仿宋-GB2312" w:eastAsia="CESI仿宋-GB2312" w:cs="CESI仿宋-GB2312"/>
          <w:bCs/>
          <w:color w:val="000000"/>
          <w:sz w:val="32"/>
          <w:szCs w:val="32"/>
          <w:highlight w:val="none"/>
        </w:rPr>
        <w:t>内不修改、撤销投标文件。</w:t>
      </w:r>
    </w:p>
    <w:p>
      <w:pPr>
        <w:pageBreakBefore w:val="0"/>
        <w:widowControl/>
        <w:tabs>
          <w:tab w:val="left" w:pos="6120"/>
        </w:tabs>
        <w:kinsoku w:val="0"/>
        <w:wordWrap/>
        <w:overflowPunct/>
        <w:autoSpaceDE w:val="0"/>
        <w:autoSpaceDN w:val="0"/>
        <w:bidi w:val="0"/>
        <w:adjustRightInd w:val="0"/>
        <w:snapToGrid w:val="0"/>
        <w:spacing w:line="576" w:lineRule="exact"/>
        <w:ind w:firstLine="640" w:firstLineChars="20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3.提供招标文件规定的全部投标文件。</w:t>
      </w:r>
    </w:p>
    <w:p>
      <w:pPr>
        <w:pageBreakBefore w:val="0"/>
        <w:widowControl/>
        <w:kinsoku w:val="0"/>
        <w:wordWrap/>
        <w:overflowPunct/>
        <w:autoSpaceDE w:val="0"/>
        <w:autoSpaceDN w:val="0"/>
        <w:bidi w:val="0"/>
        <w:adjustRightInd w:val="0"/>
        <w:snapToGrid w:val="0"/>
        <w:spacing w:line="576" w:lineRule="exact"/>
        <w:ind w:firstLine="640" w:firstLineChars="200"/>
        <w:jc w:val="left"/>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lang w:val="en-US" w:eastAsia="zh-CN"/>
        </w:rPr>
        <w:t>4</w:t>
      </w:r>
      <w:r>
        <w:rPr>
          <w:rFonts w:hint="eastAsia" w:ascii="CESI仿宋-GB2312" w:hAnsi="CESI仿宋-GB2312" w:eastAsia="CESI仿宋-GB2312" w:cs="CESI仿宋-GB2312"/>
          <w:bCs/>
          <w:color w:val="000000"/>
          <w:sz w:val="32"/>
          <w:szCs w:val="32"/>
          <w:highlight w:val="none"/>
        </w:rPr>
        <w:t>.如我方中标：</w:t>
      </w:r>
    </w:p>
    <w:p>
      <w:pPr>
        <w:pageBreakBefore w:val="0"/>
        <w:widowControl/>
        <w:kinsoku w:val="0"/>
        <w:wordWrap/>
        <w:overflowPunct/>
        <w:autoSpaceDE w:val="0"/>
        <w:autoSpaceDN w:val="0"/>
        <w:bidi w:val="0"/>
        <w:adjustRightInd w:val="0"/>
        <w:snapToGrid w:val="0"/>
        <w:spacing w:line="576" w:lineRule="exact"/>
        <w:ind w:firstLine="640" w:firstLineChars="200"/>
        <w:jc w:val="left"/>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（1）我方承诺在收到中标通知书后30日内与采购人签订合同。否则，视为我方自动放弃中标资格，采购人有权选择其他候选中标人。</w:t>
      </w:r>
    </w:p>
    <w:p>
      <w:pPr>
        <w:pageBreakBefore w:val="0"/>
        <w:widowControl/>
        <w:kinsoku w:val="0"/>
        <w:wordWrap/>
        <w:overflowPunct/>
        <w:autoSpaceDE w:val="0"/>
        <w:autoSpaceDN w:val="0"/>
        <w:bidi w:val="0"/>
        <w:adjustRightInd w:val="0"/>
        <w:snapToGrid w:val="0"/>
        <w:spacing w:line="576" w:lineRule="exact"/>
        <w:ind w:firstLine="640" w:firstLineChars="200"/>
        <w:jc w:val="left"/>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（2）我方承诺踏实地执行双方所签的合同，承担合同规定的责任和义务，在合同约定的期限内完成并移交全部合同项目。</w:t>
      </w:r>
    </w:p>
    <w:p>
      <w:pPr>
        <w:pageBreakBefore w:val="0"/>
        <w:widowControl/>
        <w:kinsoku w:val="0"/>
        <w:wordWrap/>
        <w:overflowPunct/>
        <w:autoSpaceDE w:val="0"/>
        <w:autoSpaceDN w:val="0"/>
        <w:bidi w:val="0"/>
        <w:adjustRightInd w:val="0"/>
        <w:snapToGrid w:val="0"/>
        <w:spacing w:line="576" w:lineRule="exact"/>
        <w:ind w:firstLine="640" w:firstLineChars="200"/>
        <w:jc w:val="left"/>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（3）我方保证按招标文件要求，将招标代理服务费付给采购代理机构。</w:t>
      </w:r>
    </w:p>
    <w:p>
      <w:pPr>
        <w:pageBreakBefore w:val="0"/>
        <w:widowControl/>
        <w:kinsoku w:val="0"/>
        <w:wordWrap/>
        <w:overflowPunct/>
        <w:autoSpaceDE w:val="0"/>
        <w:autoSpaceDN w:val="0"/>
        <w:bidi w:val="0"/>
        <w:adjustRightInd w:val="0"/>
        <w:snapToGrid w:val="0"/>
        <w:spacing w:line="576" w:lineRule="exact"/>
        <w:ind w:firstLine="640" w:firstLineChars="200"/>
        <w:jc w:val="left"/>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（4）我方承诺严格按招标文件要求签订中标合同，否则采购人可视为我方自动放弃中标资格，采购人有权选择其他候选中标人。</w:t>
      </w:r>
    </w:p>
    <w:p>
      <w:pPr>
        <w:pageBreakBefore w:val="0"/>
        <w:widowControl/>
        <w:kinsoku w:val="0"/>
        <w:wordWrap/>
        <w:overflowPunct/>
        <w:autoSpaceDE w:val="0"/>
        <w:autoSpaceDN w:val="0"/>
        <w:bidi w:val="0"/>
        <w:adjustRightInd w:val="0"/>
        <w:snapToGrid w:val="0"/>
        <w:spacing w:line="576" w:lineRule="exact"/>
        <w:ind w:firstLine="640" w:firstLineChars="200"/>
        <w:jc w:val="left"/>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（5）我方承诺设备所采用的专利技术均合格有效，所有技术应用和法律风险由我方承担。</w:t>
      </w:r>
    </w:p>
    <w:p>
      <w:pPr>
        <w:pageBreakBefore w:val="0"/>
        <w:widowControl/>
        <w:kinsoku w:val="0"/>
        <w:wordWrap/>
        <w:overflowPunct/>
        <w:autoSpaceDE w:val="0"/>
        <w:autoSpaceDN w:val="0"/>
        <w:bidi w:val="0"/>
        <w:adjustRightInd w:val="0"/>
        <w:snapToGrid w:val="0"/>
        <w:spacing w:line="576" w:lineRule="exact"/>
        <w:ind w:firstLine="640" w:firstLineChars="200"/>
        <w:jc w:val="left"/>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lang w:val="en-US" w:eastAsia="zh-CN"/>
        </w:rPr>
        <w:t>5</w:t>
      </w:r>
      <w:r>
        <w:rPr>
          <w:rFonts w:hint="eastAsia" w:ascii="CESI仿宋-GB2312" w:hAnsi="CESI仿宋-GB2312" w:eastAsia="CESI仿宋-GB2312" w:cs="CESI仿宋-GB2312"/>
          <w:bCs/>
          <w:color w:val="000000"/>
          <w:sz w:val="32"/>
          <w:szCs w:val="32"/>
          <w:highlight w:val="none"/>
        </w:rPr>
        <w:t>.我方在此声明，所递交的投标文件、证明、陈述及相关资料内容完整、真实和准确。若有虚假，我公司承担由此而产生的一切后果。</w:t>
      </w:r>
    </w:p>
    <w:p>
      <w:pPr>
        <w:pageBreakBefore w:val="0"/>
        <w:widowControl/>
        <w:kinsoku w:val="0"/>
        <w:wordWrap/>
        <w:overflowPunct/>
        <w:autoSpaceDE w:val="0"/>
        <w:autoSpaceDN w:val="0"/>
        <w:bidi w:val="0"/>
        <w:adjustRightInd w:val="0"/>
        <w:snapToGrid w:val="0"/>
        <w:spacing w:line="576" w:lineRule="exact"/>
        <w:ind w:firstLine="640" w:firstLineChars="200"/>
        <w:jc w:val="left"/>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lang w:val="en-US" w:eastAsia="zh-CN"/>
        </w:rPr>
        <w:t>6</w:t>
      </w:r>
      <w:r>
        <w:rPr>
          <w:rFonts w:hint="eastAsia" w:ascii="CESI仿宋-GB2312" w:hAnsi="CESI仿宋-GB2312" w:eastAsia="CESI仿宋-GB2312" w:cs="CESI仿宋-GB2312"/>
          <w:bCs/>
          <w:color w:val="000000"/>
          <w:sz w:val="32"/>
          <w:szCs w:val="32"/>
          <w:highlight w:val="none"/>
        </w:rPr>
        <w:t>.与本投标有关的一切往来通讯请寄：</w:t>
      </w:r>
    </w:p>
    <w:p>
      <w:pPr>
        <w:pageBreakBefore w:val="0"/>
        <w:widowControl/>
        <w:tabs>
          <w:tab w:val="left" w:pos="6120"/>
        </w:tabs>
        <w:kinsoku w:val="0"/>
        <w:wordWrap/>
        <w:overflowPunct/>
        <w:autoSpaceDE w:val="0"/>
        <w:autoSpaceDN w:val="0"/>
        <w:bidi w:val="0"/>
        <w:adjustRightInd w:val="0"/>
        <w:snapToGrid w:val="0"/>
        <w:spacing w:line="576" w:lineRule="exact"/>
        <w:ind w:left="0" w:leftChars="0"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单位全称：</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　</w:t>
      </w:r>
    </w:p>
    <w:p>
      <w:pPr>
        <w:pageBreakBefore w:val="0"/>
        <w:widowControl/>
        <w:tabs>
          <w:tab w:val="left" w:pos="6120"/>
        </w:tabs>
        <w:kinsoku w:val="0"/>
        <w:wordWrap/>
        <w:overflowPunct/>
        <w:autoSpaceDE w:val="0"/>
        <w:autoSpaceDN w:val="0"/>
        <w:bidi w:val="0"/>
        <w:adjustRightInd w:val="0"/>
        <w:snapToGrid w:val="0"/>
        <w:spacing w:line="576" w:lineRule="exact"/>
        <w:ind w:left="0" w:leftChars="0"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地　　址：</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　</w:t>
      </w:r>
    </w:p>
    <w:p>
      <w:pPr>
        <w:pageBreakBefore w:val="0"/>
        <w:widowControl/>
        <w:tabs>
          <w:tab w:val="left" w:pos="6120"/>
        </w:tabs>
        <w:kinsoku w:val="0"/>
        <w:wordWrap/>
        <w:overflowPunct/>
        <w:autoSpaceDE w:val="0"/>
        <w:autoSpaceDN w:val="0"/>
        <w:bidi w:val="0"/>
        <w:adjustRightInd w:val="0"/>
        <w:snapToGrid w:val="0"/>
        <w:spacing w:line="576" w:lineRule="exact"/>
        <w:ind w:left="0" w:leftChars="0"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邮编：</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 xml:space="preserve"> 电话：</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传真：</w:t>
      </w:r>
      <w:r>
        <w:rPr>
          <w:rFonts w:hint="eastAsia" w:ascii="CESI仿宋-GB2312" w:hAnsi="CESI仿宋-GB2312" w:eastAsia="CESI仿宋-GB2312" w:cs="CESI仿宋-GB2312"/>
          <w:bCs/>
          <w:color w:val="000000"/>
          <w:sz w:val="32"/>
          <w:szCs w:val="32"/>
          <w:highlight w:val="none"/>
          <w:u w:val="single"/>
        </w:rPr>
        <w:t xml:space="preserve">            </w:t>
      </w:r>
    </w:p>
    <w:p>
      <w:pPr>
        <w:pageBreakBefore w:val="0"/>
        <w:widowControl/>
        <w:numPr>
          <w:numId w:val="0"/>
        </w:numPr>
        <w:tabs>
          <w:tab w:val="left" w:pos="6120"/>
        </w:tabs>
        <w:kinsoku w:val="0"/>
        <w:wordWrap/>
        <w:overflowPunct/>
        <w:autoSpaceDE w:val="0"/>
        <w:autoSpaceDN w:val="0"/>
        <w:bidi w:val="0"/>
        <w:adjustRightInd w:val="0"/>
        <w:snapToGrid w:val="0"/>
        <w:spacing w:line="576" w:lineRule="exact"/>
        <w:ind w:leftChars="0" w:firstLine="640" w:firstLineChars="20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cs="CESI仿宋-GB2312"/>
          <w:bCs/>
          <w:color w:val="000000"/>
          <w:sz w:val="32"/>
          <w:szCs w:val="32"/>
          <w:highlight w:val="none"/>
          <w:u w:val="none"/>
          <w:lang w:val="en-US" w:eastAsia="zh-CN"/>
        </w:rPr>
        <w:t>7.</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（其他补充说明）。</w:t>
      </w:r>
    </w:p>
    <w:p>
      <w:pPr>
        <w:bidi w:val="0"/>
        <w:rPr>
          <w:rFonts w:hint="eastAsia"/>
        </w:rPr>
      </w:pPr>
    </w:p>
    <w:p>
      <w:pPr>
        <w:rPr>
          <w:rFonts w:hint="eastAsia"/>
        </w:rPr>
      </w:pPr>
    </w:p>
    <w:p>
      <w:pPr>
        <w:bidi w:val="0"/>
        <w:rPr>
          <w:rFonts w:hint="eastAsia"/>
        </w:rPr>
      </w:pPr>
    </w:p>
    <w:p>
      <w:pPr>
        <w:pageBreakBefore w:val="0"/>
        <w:widowControl/>
        <w:tabs>
          <w:tab w:val="left" w:pos="6120"/>
        </w:tabs>
        <w:kinsoku w:val="0"/>
        <w:wordWrap/>
        <w:overflowPunct/>
        <w:autoSpaceDE w:val="0"/>
        <w:autoSpaceDN w:val="0"/>
        <w:bidi w:val="0"/>
        <w:adjustRightInd w:val="0"/>
        <w:snapToGrid w:val="0"/>
        <w:spacing w:line="576" w:lineRule="exact"/>
        <w:ind w:left="0" w:leftChars="0"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投标人：</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（盖单位章）</w:t>
      </w:r>
    </w:p>
    <w:p>
      <w:pPr>
        <w:pageBreakBefore w:val="0"/>
        <w:widowControl/>
        <w:kinsoku w:val="0"/>
        <w:wordWrap/>
        <w:overflowPunct/>
        <w:autoSpaceDE w:val="0"/>
        <w:autoSpaceDN w:val="0"/>
        <w:bidi w:val="0"/>
        <w:adjustRightInd w:val="0"/>
        <w:snapToGrid w:val="0"/>
        <w:spacing w:line="576" w:lineRule="exact"/>
        <w:ind w:left="0" w:leftChars="0" w:firstLine="0" w:firstLineChars="0"/>
        <w:textAlignment w:val="baseline"/>
        <w:rPr>
          <w:rFonts w:hint="eastAsia" w:ascii="CESI仿宋-GB2312" w:hAnsi="CESI仿宋-GB2312" w:eastAsia="CESI仿宋-GB2312" w:cs="CESI仿宋-GB2312"/>
          <w:bCs/>
          <w:color w:val="000000"/>
          <w:w w:val="99"/>
          <w:sz w:val="32"/>
          <w:szCs w:val="32"/>
          <w:highlight w:val="none"/>
        </w:rPr>
      </w:pPr>
      <w:r>
        <w:rPr>
          <w:rFonts w:hint="eastAsia" w:ascii="CESI仿宋-GB2312" w:hAnsi="CESI仿宋-GB2312" w:eastAsia="CESI仿宋-GB2312" w:cs="CESI仿宋-GB2312"/>
          <w:bCs/>
          <w:color w:val="000000"/>
          <w:sz w:val="32"/>
          <w:szCs w:val="32"/>
          <w:highlight w:val="none"/>
        </w:rPr>
        <w:t>法定代表人或其委托代理人：</w:t>
      </w:r>
      <w:r>
        <w:rPr>
          <w:rFonts w:hint="eastAsia" w:ascii="CESI仿宋-GB2312" w:hAnsi="CESI仿宋-GB2312" w:eastAsia="CESI仿宋-GB2312" w:cs="CESI仿宋-GB2312"/>
          <w:bCs/>
          <w:color w:val="000000"/>
          <w:w w:val="198"/>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（签字）</w:t>
      </w:r>
    </w:p>
    <w:p>
      <w:pPr>
        <w:pageBreakBefore w:val="0"/>
        <w:widowControl/>
        <w:kinsoku w:val="0"/>
        <w:wordWrap/>
        <w:overflowPunct/>
        <w:autoSpaceDE w:val="0"/>
        <w:autoSpaceDN w:val="0"/>
        <w:bidi w:val="0"/>
        <w:adjustRightInd w:val="0"/>
        <w:snapToGrid w:val="0"/>
        <w:spacing w:line="576" w:lineRule="exact"/>
        <w:ind w:left="0" w:leftChars="0"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 xml:space="preserve">日　期： </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年</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月</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日</w:t>
      </w:r>
    </w:p>
    <w:bookmarkEnd w:id="41"/>
    <w:bookmarkEnd w:id="42"/>
    <w:p>
      <w:pPr>
        <w:pageBreakBefore w:val="0"/>
        <w:widowControl/>
        <w:kinsoku w:val="0"/>
        <w:wordWrap/>
        <w:overflowPunct/>
        <w:autoSpaceDE w:val="0"/>
        <w:autoSpaceDN w:val="0"/>
        <w:bidi w:val="0"/>
        <w:adjustRightInd w:val="0"/>
        <w:snapToGrid w:val="0"/>
        <w:spacing w:line="576" w:lineRule="exact"/>
        <w:textAlignment w:val="baseline"/>
        <w:rPr>
          <w:rStyle w:val="18"/>
          <w:rFonts w:hint="eastAsia" w:ascii="CESI仿宋-GB2312" w:hAnsi="CESI仿宋-GB2312" w:eastAsia="CESI仿宋-GB2312" w:cs="CESI仿宋-GB2312"/>
          <w:b w:val="0"/>
          <w:bCs/>
          <w:color w:val="000000"/>
          <w:sz w:val="28"/>
          <w:szCs w:val="28"/>
          <w:highlight w:val="none"/>
        </w:rPr>
      </w:pPr>
      <w:bookmarkStart w:id="43" w:name="_Toc15004"/>
      <w:bookmarkStart w:id="44" w:name="_Toc435525267"/>
      <w:bookmarkStart w:id="45" w:name="_Toc527110450"/>
      <w:bookmarkStart w:id="46" w:name="_Toc25505"/>
      <w:bookmarkStart w:id="47" w:name="_Toc4954"/>
      <w:bookmarkStart w:id="48" w:name="_Toc39520164"/>
      <w:bookmarkStart w:id="49" w:name="_Toc437010443"/>
      <w:bookmarkStart w:id="50" w:name="_Toc29935"/>
      <w:bookmarkStart w:id="51" w:name="_Toc2853504"/>
      <w:bookmarkStart w:id="52" w:name="_Toc437206922"/>
      <w:bookmarkStart w:id="53" w:name="_Toc527111468"/>
      <w:bookmarkStart w:id="54" w:name="_Toc18743"/>
      <w:bookmarkStart w:id="55" w:name="_Toc7581"/>
      <w:bookmarkStart w:id="56" w:name="_Toc4467"/>
      <w:bookmarkStart w:id="57" w:name="_Toc31728"/>
      <w:bookmarkStart w:id="58" w:name="_Toc434572381"/>
      <w:bookmarkStart w:id="59" w:name="_Toc436302272"/>
      <w:bookmarkStart w:id="60" w:name="_Toc427169748"/>
      <w:r>
        <w:rPr>
          <w:rStyle w:val="18"/>
          <w:rFonts w:hint="eastAsia" w:ascii="CESI仿宋-GB2312" w:hAnsi="CESI仿宋-GB2312" w:eastAsia="CESI仿宋-GB2312" w:cs="CESI仿宋-GB2312"/>
          <w:b w:val="0"/>
          <w:bCs/>
          <w:color w:val="000000"/>
          <w:sz w:val="28"/>
          <w:szCs w:val="28"/>
          <w:highlight w:val="none"/>
        </w:rPr>
        <w:br w:type="page"/>
      </w:r>
    </w:p>
    <w:p>
      <w:pPr>
        <w:pStyle w:val="3"/>
        <w:pageBreakBefore w:val="0"/>
        <w:widowControl/>
        <w:numPr>
          <w:ilvl w:val="0"/>
          <w:numId w:val="3"/>
        </w:numPr>
        <w:kinsoku w:val="0"/>
        <w:wordWrap/>
        <w:overflowPunct/>
        <w:autoSpaceDE w:val="0"/>
        <w:autoSpaceDN w:val="0"/>
        <w:bidi w:val="0"/>
        <w:adjustRightInd w:val="0"/>
        <w:snapToGrid w:val="0"/>
        <w:spacing w:line="576" w:lineRule="exact"/>
        <w:jc w:val="center"/>
        <w:textAlignment w:val="baseline"/>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法定代表人身份证明及授权书</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numPr>
          <w:numId w:val="0"/>
        </w:numPr>
        <w:rPr>
          <w:rFonts w:hint="eastAsia"/>
          <w:lang w:val="zh-CN"/>
        </w:rPr>
      </w:pPr>
    </w:p>
    <w:p>
      <w:pPr>
        <w:pStyle w:val="2"/>
        <w:rPr>
          <w:rFonts w:hint="eastAsia"/>
          <w:lang w:val="zh-CN"/>
        </w:rPr>
      </w:pP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投标人名称：</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 xml:space="preserve"> </w:t>
      </w: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单位性质：</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 xml:space="preserve"> </w:t>
      </w: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地址：</w:t>
      </w:r>
      <w:r>
        <w:rPr>
          <w:rFonts w:hint="eastAsia" w:ascii="CESI仿宋-GB2312" w:hAnsi="CESI仿宋-GB2312" w:eastAsia="CESI仿宋-GB2312" w:cs="CESI仿宋-GB2312"/>
          <w:bCs/>
          <w:color w:val="000000"/>
          <w:sz w:val="32"/>
          <w:szCs w:val="32"/>
          <w:highlight w:val="none"/>
          <w:u w:val="single"/>
        </w:rPr>
        <w:t xml:space="preserve">                                   </w:t>
      </w: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成立时间：</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 xml:space="preserve"> 年</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 xml:space="preserve"> 月</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 xml:space="preserve"> 日</w:t>
      </w: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经营期限：</w:t>
      </w:r>
      <w:r>
        <w:rPr>
          <w:rFonts w:hint="eastAsia" w:ascii="CESI仿宋-GB2312" w:hAnsi="CESI仿宋-GB2312" w:eastAsia="CESI仿宋-GB2312" w:cs="CESI仿宋-GB2312"/>
          <w:bCs/>
          <w:color w:val="000000"/>
          <w:sz w:val="32"/>
          <w:szCs w:val="32"/>
          <w:highlight w:val="none"/>
          <w:u w:val="single"/>
        </w:rPr>
        <w:t xml:space="preserve">                               </w:t>
      </w: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姓名：</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 xml:space="preserve"> 性别：</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 xml:space="preserve"> 年龄：</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职务：</w:t>
      </w:r>
      <w:r>
        <w:rPr>
          <w:rFonts w:hint="eastAsia" w:ascii="CESI仿宋-GB2312" w:hAnsi="CESI仿宋-GB2312" w:eastAsia="CESI仿宋-GB2312" w:cs="CESI仿宋-GB2312"/>
          <w:bCs/>
          <w:color w:val="000000"/>
          <w:sz w:val="32"/>
          <w:szCs w:val="32"/>
          <w:highlight w:val="none"/>
          <w:u w:val="single"/>
        </w:rPr>
        <w:t xml:space="preserve">        </w:t>
      </w: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系</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 xml:space="preserve"> （投标人名称）的法定代表人。</w:t>
      </w: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特此证明。</w:t>
      </w:r>
    </w:p>
    <w:p>
      <w:pPr>
        <w:pageBreakBefore w:val="0"/>
        <w:widowControl/>
        <w:kinsoku w:val="0"/>
        <w:wordWrap/>
        <w:overflowPunct/>
        <w:autoSpaceDE w:val="0"/>
        <w:autoSpaceDN w:val="0"/>
        <w:bidi w:val="0"/>
        <w:adjustRightInd w:val="0"/>
        <w:snapToGrid w:val="0"/>
        <w:spacing w:line="576" w:lineRule="exact"/>
        <w:ind w:firstLine="480"/>
        <w:textAlignment w:val="baseline"/>
        <w:rPr>
          <w:rFonts w:hint="eastAsia" w:ascii="CESI仿宋-GB2312" w:hAnsi="CESI仿宋-GB2312" w:eastAsia="CESI仿宋-GB2312" w:cs="CESI仿宋-GB2312"/>
          <w:bCs/>
          <w:color w:val="000000"/>
          <w:sz w:val="32"/>
          <w:szCs w:val="32"/>
          <w:highlight w:val="none"/>
        </w:rPr>
      </w:pPr>
    </w:p>
    <w:p>
      <w:pPr>
        <w:pageBreakBefore w:val="0"/>
        <w:widowControl/>
        <w:kinsoku w:val="0"/>
        <w:wordWrap/>
        <w:overflowPunct/>
        <w:autoSpaceDE w:val="0"/>
        <w:autoSpaceDN w:val="0"/>
        <w:bidi w:val="0"/>
        <w:adjustRightInd w:val="0"/>
        <w:snapToGrid w:val="0"/>
        <w:spacing w:line="576" w:lineRule="exact"/>
        <w:ind w:firstLine="480"/>
        <w:textAlignment w:val="baseline"/>
        <w:rPr>
          <w:rFonts w:hint="eastAsia" w:ascii="CESI仿宋-GB2312" w:hAnsi="CESI仿宋-GB2312" w:eastAsia="CESI仿宋-GB2312" w:cs="CESI仿宋-GB2312"/>
          <w:bCs/>
          <w:color w:val="000000"/>
          <w:sz w:val="32"/>
          <w:szCs w:val="32"/>
          <w:highlight w:val="none"/>
        </w:rPr>
      </w:pPr>
    </w:p>
    <w:p>
      <w:pPr>
        <w:pageBreakBefore w:val="0"/>
        <w:widowControl/>
        <w:tabs>
          <w:tab w:val="left" w:pos="6120"/>
        </w:tabs>
        <w:kinsoku w:val="0"/>
        <w:wordWrap/>
        <w:overflowPunct/>
        <w:autoSpaceDE w:val="0"/>
        <w:autoSpaceDN w:val="0"/>
        <w:bidi w:val="0"/>
        <w:adjustRightInd w:val="0"/>
        <w:snapToGrid w:val="0"/>
        <w:spacing w:line="576" w:lineRule="exact"/>
        <w:ind w:firstLine="0" w:firstLineChars="0"/>
        <w:jc w:val="left"/>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投标人：</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（盖单位章）</w:t>
      </w: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w w:val="99"/>
          <w:sz w:val="32"/>
          <w:szCs w:val="32"/>
          <w:highlight w:val="none"/>
        </w:rPr>
      </w:pPr>
      <w:r>
        <w:rPr>
          <w:rFonts w:hint="eastAsia" w:ascii="CESI仿宋-GB2312" w:hAnsi="CESI仿宋-GB2312" w:eastAsia="CESI仿宋-GB2312" w:cs="CESI仿宋-GB2312"/>
          <w:bCs/>
          <w:color w:val="000000"/>
          <w:sz w:val="32"/>
          <w:szCs w:val="32"/>
          <w:highlight w:val="none"/>
        </w:rPr>
        <w:t>法定代表人或其委托代理人：</w:t>
      </w:r>
      <w:r>
        <w:rPr>
          <w:rFonts w:hint="eastAsia" w:ascii="CESI仿宋-GB2312" w:hAnsi="CESI仿宋-GB2312" w:eastAsia="CESI仿宋-GB2312" w:cs="CESI仿宋-GB2312"/>
          <w:bCs/>
          <w:color w:val="000000"/>
          <w:w w:val="198"/>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（签字）</w:t>
      </w: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 xml:space="preserve">日　期： </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年</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月</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日</w:t>
      </w:r>
    </w:p>
    <w:p>
      <w:pPr>
        <w:pageBreakBefore w:val="0"/>
        <w:widowControl/>
        <w:kinsoku w:val="0"/>
        <w:wordWrap/>
        <w:overflowPunct/>
        <w:autoSpaceDE w:val="0"/>
        <w:autoSpaceDN w:val="0"/>
        <w:bidi w:val="0"/>
        <w:adjustRightInd w:val="0"/>
        <w:snapToGrid w:val="0"/>
        <w:spacing w:line="576" w:lineRule="exact"/>
        <w:ind w:firstLine="480"/>
        <w:textAlignment w:val="baseline"/>
        <w:rPr>
          <w:rFonts w:hint="eastAsia" w:ascii="CESI仿宋-GB2312" w:hAnsi="CESI仿宋-GB2312" w:eastAsia="CESI仿宋-GB2312" w:cs="CESI仿宋-GB2312"/>
          <w:bCs/>
          <w:color w:val="000000"/>
          <w:sz w:val="32"/>
          <w:szCs w:val="32"/>
          <w:highlight w:val="none"/>
          <w:lang w:val="zh-CN"/>
        </w:rPr>
      </w:pP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lang w:val="zh-CN"/>
        </w:rPr>
      </w:pPr>
      <w:r>
        <w:rPr>
          <w:rFonts w:hint="eastAsia" w:ascii="CESI仿宋-GB2312" w:hAnsi="CESI仿宋-GB2312" w:eastAsia="CESI仿宋-GB2312" w:cs="CESI仿宋-GB2312"/>
          <w:bCs/>
          <w:color w:val="000000"/>
          <w:sz w:val="32"/>
          <w:szCs w:val="32"/>
          <w:highlight w:val="none"/>
          <w:lang w:val="zh-CN"/>
        </w:rPr>
        <w:t>后附法定代表人身份证</w:t>
      </w:r>
    </w:p>
    <w:p>
      <w:pPr>
        <w:pageBreakBefore w:val="0"/>
        <w:widowControl/>
        <w:kinsoku w:val="0"/>
        <w:wordWrap/>
        <w:overflowPunct/>
        <w:autoSpaceDE w:val="0"/>
        <w:autoSpaceDN w:val="0"/>
        <w:bidi w:val="0"/>
        <w:adjustRightInd w:val="0"/>
        <w:snapToGrid w:val="0"/>
        <w:spacing w:line="576" w:lineRule="exact"/>
        <w:ind w:firstLine="480"/>
        <w:textAlignment w:val="baseline"/>
        <w:rPr>
          <w:rFonts w:hint="eastAsia" w:ascii="CESI仿宋-GB2312" w:hAnsi="CESI仿宋-GB2312" w:eastAsia="CESI仿宋-GB2312" w:cs="CESI仿宋-GB2312"/>
          <w:bCs/>
          <w:color w:val="000000"/>
          <w:sz w:val="28"/>
          <w:szCs w:val="28"/>
          <w:highlight w:val="none"/>
          <w:lang w:val="zh-CN"/>
        </w:rPr>
      </w:pPr>
    </w:p>
    <w:p>
      <w:pPr>
        <w:pageBreakBefore w:val="0"/>
        <w:widowControl/>
        <w:kinsoku w:val="0"/>
        <w:wordWrap/>
        <w:overflowPunct/>
        <w:autoSpaceDE w:val="0"/>
        <w:autoSpaceDN w:val="0"/>
        <w:bidi w:val="0"/>
        <w:adjustRightInd w:val="0"/>
        <w:snapToGrid w:val="0"/>
        <w:spacing w:line="576" w:lineRule="exact"/>
        <w:ind w:firstLine="480"/>
        <w:textAlignment w:val="baseline"/>
        <w:rPr>
          <w:rFonts w:hint="eastAsia" w:ascii="CESI仿宋-GB2312" w:hAnsi="CESI仿宋-GB2312" w:eastAsia="CESI仿宋-GB2312" w:cs="CESI仿宋-GB2312"/>
          <w:bCs/>
          <w:color w:val="000000"/>
          <w:sz w:val="28"/>
          <w:szCs w:val="28"/>
          <w:highlight w:val="none"/>
          <w:lang w:val="zh-CN"/>
        </w:rPr>
      </w:pPr>
    </w:p>
    <w:p>
      <w:pPr>
        <w:pageBreakBefore w:val="0"/>
        <w:widowControl/>
        <w:kinsoku w:val="0"/>
        <w:wordWrap/>
        <w:overflowPunct/>
        <w:autoSpaceDE w:val="0"/>
        <w:autoSpaceDN w:val="0"/>
        <w:bidi w:val="0"/>
        <w:adjustRightInd w:val="0"/>
        <w:snapToGrid w:val="0"/>
        <w:spacing w:line="576" w:lineRule="exact"/>
        <w:ind w:firstLine="480"/>
        <w:textAlignment w:val="baseline"/>
        <w:rPr>
          <w:rFonts w:hint="eastAsia" w:ascii="CESI仿宋-GB2312" w:hAnsi="CESI仿宋-GB2312" w:eastAsia="CESI仿宋-GB2312" w:cs="CESI仿宋-GB2312"/>
          <w:bCs/>
          <w:color w:val="000000"/>
          <w:sz w:val="28"/>
          <w:szCs w:val="28"/>
          <w:highlight w:val="none"/>
          <w:lang w:val="zh-CN"/>
        </w:rPr>
      </w:pPr>
    </w:p>
    <w:p>
      <w:pPr>
        <w:pageBreakBefore w:val="0"/>
        <w:widowControl/>
        <w:kinsoku w:val="0"/>
        <w:wordWrap/>
        <w:overflowPunct/>
        <w:autoSpaceDE w:val="0"/>
        <w:autoSpaceDN w:val="0"/>
        <w:bidi w:val="0"/>
        <w:adjustRightInd w:val="0"/>
        <w:snapToGrid w:val="0"/>
        <w:spacing w:line="576" w:lineRule="exact"/>
        <w:ind w:left="0" w:leftChars="0" w:firstLine="0" w:firstLineChars="0"/>
        <w:textAlignment w:val="baseline"/>
        <w:rPr>
          <w:rFonts w:hint="eastAsia" w:ascii="CESI仿宋-GB2312" w:hAnsi="CESI仿宋-GB2312" w:eastAsia="CESI仿宋-GB2312" w:cs="CESI仿宋-GB2312"/>
          <w:bCs/>
          <w:color w:val="000000"/>
          <w:sz w:val="28"/>
          <w:szCs w:val="28"/>
          <w:highlight w:val="none"/>
        </w:rPr>
      </w:pPr>
      <w:bookmarkStart w:id="61" w:name="_Toc434572382"/>
      <w:bookmarkStart w:id="62" w:name="_Toc527110451"/>
      <w:bookmarkStart w:id="63" w:name="_Toc527111469"/>
      <w:bookmarkStart w:id="64" w:name="_Toc437208030"/>
      <w:bookmarkStart w:id="65" w:name="_Toc436302273"/>
      <w:bookmarkStart w:id="66" w:name="_Toc437010444"/>
      <w:bookmarkStart w:id="67" w:name="_Toc437206923"/>
      <w:bookmarkStart w:id="68" w:name="_Toc435525268"/>
      <w:bookmarkStart w:id="69" w:name="_Toc2853505"/>
    </w:p>
    <w:p>
      <w:pPr>
        <w:pageBreakBefore w:val="0"/>
        <w:widowControl/>
        <w:kinsoku w:val="0"/>
        <w:wordWrap/>
        <w:overflowPunct/>
        <w:autoSpaceDE w:val="0"/>
        <w:autoSpaceDN w:val="0"/>
        <w:bidi w:val="0"/>
        <w:adjustRightInd w:val="0"/>
        <w:snapToGrid w:val="0"/>
        <w:spacing w:line="576" w:lineRule="exact"/>
        <w:ind w:firstLine="0" w:firstLineChars="0"/>
        <w:jc w:val="center"/>
        <w:textAlignment w:val="baseline"/>
        <w:rPr>
          <w:rFonts w:hint="eastAsia" w:ascii="方正小标宋_GBK" w:hAnsi="方正小标宋_GBK" w:eastAsia="方正小标宋_GBK" w:cs="方正小标宋_GBK"/>
          <w:b/>
          <w:bCs w:val="0"/>
          <w:color w:val="000000"/>
          <w:sz w:val="44"/>
          <w:szCs w:val="44"/>
          <w:highlight w:val="none"/>
        </w:rPr>
      </w:pPr>
      <w:r>
        <w:rPr>
          <w:rFonts w:hint="eastAsia" w:ascii="方正小标宋_GBK" w:hAnsi="方正小标宋_GBK" w:eastAsia="方正小标宋_GBK" w:cs="方正小标宋_GBK"/>
          <w:b/>
          <w:bCs w:val="0"/>
          <w:color w:val="000000"/>
          <w:sz w:val="44"/>
          <w:szCs w:val="44"/>
          <w:highlight w:val="none"/>
        </w:rPr>
        <w:t>授权委托书</w:t>
      </w:r>
      <w:bookmarkEnd w:id="61"/>
      <w:bookmarkEnd w:id="62"/>
      <w:bookmarkEnd w:id="63"/>
      <w:bookmarkEnd w:id="64"/>
      <w:bookmarkEnd w:id="65"/>
      <w:bookmarkEnd w:id="66"/>
      <w:bookmarkEnd w:id="67"/>
      <w:bookmarkEnd w:id="68"/>
      <w:bookmarkEnd w:id="69"/>
    </w:p>
    <w:p>
      <w:pPr>
        <w:pageBreakBefore w:val="0"/>
        <w:widowControl/>
        <w:kinsoku w:val="0"/>
        <w:wordWrap/>
        <w:overflowPunct/>
        <w:autoSpaceDE w:val="0"/>
        <w:autoSpaceDN w:val="0"/>
        <w:bidi w:val="0"/>
        <w:adjustRightInd w:val="0"/>
        <w:snapToGrid w:val="0"/>
        <w:spacing w:line="576" w:lineRule="exact"/>
        <w:ind w:firstLine="640"/>
        <w:textAlignment w:val="baseline"/>
        <w:rPr>
          <w:rFonts w:hint="eastAsia" w:ascii="CESI仿宋-GB2312" w:hAnsi="CESI仿宋-GB2312" w:eastAsia="CESI仿宋-GB2312" w:cs="CESI仿宋-GB2312"/>
          <w:bCs/>
          <w:color w:val="000000"/>
          <w:sz w:val="32"/>
          <w:szCs w:val="32"/>
          <w:highlight w:val="none"/>
        </w:rPr>
      </w:pPr>
    </w:p>
    <w:p>
      <w:pPr>
        <w:pageBreakBefore w:val="0"/>
        <w:widowControl/>
        <w:kinsoku w:val="0"/>
        <w:wordWrap/>
        <w:overflowPunct/>
        <w:topLinePunct/>
        <w:autoSpaceDE w:val="0"/>
        <w:autoSpaceDN w:val="0"/>
        <w:bidi w:val="0"/>
        <w:adjustRightInd w:val="0"/>
        <w:snapToGrid w:val="0"/>
        <w:spacing w:line="576" w:lineRule="exact"/>
        <w:ind w:firstLine="48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本人</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（姓名）系</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（投标人名称）的法定代表人，现委托</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（姓名）为我方代理人。代理人根据授权，以我方名义签署、澄清、说明、补正、递交、撤回、修改</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（项目名称）</w:t>
      </w:r>
      <w:r>
        <w:rPr>
          <w:rFonts w:hint="eastAsia" w:ascii="CESI仿宋-GB2312" w:hAnsi="CESI仿宋-GB2312" w:eastAsia="CESI仿宋-GB2312" w:cs="CESI仿宋-GB2312"/>
          <w:bCs/>
          <w:color w:val="000000"/>
          <w:sz w:val="32"/>
          <w:szCs w:val="32"/>
          <w:highlight w:val="none"/>
          <w:u w:val="single"/>
        </w:rPr>
        <w:t>　　</w:t>
      </w:r>
      <w:r>
        <w:rPr>
          <w:rFonts w:hint="eastAsia" w:ascii="CESI仿宋-GB2312" w:hAnsi="CESI仿宋-GB2312" w:eastAsia="CESI仿宋-GB2312" w:cs="CESI仿宋-GB2312"/>
          <w:bCs/>
          <w:color w:val="000000"/>
          <w:sz w:val="32"/>
          <w:szCs w:val="32"/>
          <w:highlight w:val="none"/>
        </w:rPr>
        <w:t>投标文件、签订合同和处理有关事宜，其法律后果由我方承担。</w:t>
      </w:r>
    </w:p>
    <w:p>
      <w:pPr>
        <w:pageBreakBefore w:val="0"/>
        <w:widowControl/>
        <w:kinsoku w:val="0"/>
        <w:wordWrap/>
        <w:overflowPunct/>
        <w:autoSpaceDE w:val="0"/>
        <w:autoSpaceDN w:val="0"/>
        <w:bidi w:val="0"/>
        <w:adjustRightInd w:val="0"/>
        <w:snapToGrid w:val="0"/>
        <w:spacing w:line="576" w:lineRule="exact"/>
        <w:ind w:firstLine="48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委托期限：</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。自</w:t>
      </w:r>
      <w:r>
        <w:rPr>
          <w:rFonts w:hint="eastAsia" w:ascii="CESI仿宋-GB2312" w:hAnsi="CESI仿宋-GB2312" w:eastAsia="CESI仿宋-GB2312" w:cs="CESI仿宋-GB2312"/>
          <w:bCs/>
          <w:color w:val="000000"/>
          <w:sz w:val="32"/>
          <w:szCs w:val="32"/>
          <w:highlight w:val="none"/>
          <w:u w:val="single"/>
        </w:rPr>
        <w:t>　　</w:t>
      </w:r>
      <w:r>
        <w:rPr>
          <w:rFonts w:hint="eastAsia" w:ascii="CESI仿宋-GB2312" w:hAnsi="CESI仿宋-GB2312" w:eastAsia="CESI仿宋-GB2312" w:cs="CESI仿宋-GB2312"/>
          <w:bCs/>
          <w:color w:val="000000"/>
          <w:sz w:val="32"/>
          <w:szCs w:val="32"/>
          <w:highlight w:val="none"/>
        </w:rPr>
        <w:t>年</w:t>
      </w:r>
      <w:r>
        <w:rPr>
          <w:rFonts w:hint="eastAsia" w:ascii="CESI仿宋-GB2312" w:hAnsi="CESI仿宋-GB2312" w:eastAsia="CESI仿宋-GB2312" w:cs="CESI仿宋-GB2312"/>
          <w:bCs/>
          <w:color w:val="000000"/>
          <w:sz w:val="32"/>
          <w:szCs w:val="32"/>
          <w:highlight w:val="none"/>
          <w:u w:val="single"/>
        </w:rPr>
        <w:t>　　</w:t>
      </w:r>
      <w:r>
        <w:rPr>
          <w:rFonts w:hint="eastAsia" w:ascii="CESI仿宋-GB2312" w:hAnsi="CESI仿宋-GB2312" w:eastAsia="CESI仿宋-GB2312" w:cs="CESI仿宋-GB2312"/>
          <w:bCs/>
          <w:color w:val="000000"/>
          <w:sz w:val="32"/>
          <w:szCs w:val="32"/>
          <w:highlight w:val="none"/>
        </w:rPr>
        <w:t>月</w:t>
      </w:r>
      <w:r>
        <w:rPr>
          <w:rFonts w:hint="eastAsia" w:ascii="CESI仿宋-GB2312" w:hAnsi="CESI仿宋-GB2312" w:eastAsia="CESI仿宋-GB2312" w:cs="CESI仿宋-GB2312"/>
          <w:bCs/>
          <w:color w:val="000000"/>
          <w:sz w:val="32"/>
          <w:szCs w:val="32"/>
          <w:highlight w:val="none"/>
          <w:u w:val="single"/>
        </w:rPr>
        <w:t>　　</w:t>
      </w:r>
      <w:r>
        <w:rPr>
          <w:rFonts w:hint="eastAsia" w:ascii="CESI仿宋-GB2312" w:hAnsi="CESI仿宋-GB2312" w:eastAsia="CESI仿宋-GB2312" w:cs="CESI仿宋-GB2312"/>
          <w:bCs/>
          <w:color w:val="000000"/>
          <w:sz w:val="32"/>
          <w:szCs w:val="32"/>
          <w:highlight w:val="none"/>
        </w:rPr>
        <w:t>日生效。</w:t>
      </w:r>
    </w:p>
    <w:p>
      <w:pPr>
        <w:pageBreakBefore w:val="0"/>
        <w:widowControl/>
        <w:kinsoku w:val="0"/>
        <w:wordWrap/>
        <w:overflowPunct/>
        <w:autoSpaceDE w:val="0"/>
        <w:autoSpaceDN w:val="0"/>
        <w:bidi w:val="0"/>
        <w:adjustRightInd w:val="0"/>
        <w:snapToGrid w:val="0"/>
        <w:spacing w:line="576" w:lineRule="exact"/>
        <w:ind w:firstLine="48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代理人无转委托权。</w:t>
      </w:r>
    </w:p>
    <w:p>
      <w:pPr>
        <w:pageBreakBefore w:val="0"/>
        <w:widowControl/>
        <w:kinsoku w:val="0"/>
        <w:wordWrap/>
        <w:overflowPunct/>
        <w:autoSpaceDE w:val="0"/>
        <w:autoSpaceDN w:val="0"/>
        <w:bidi w:val="0"/>
        <w:adjustRightInd w:val="0"/>
        <w:snapToGrid w:val="0"/>
        <w:spacing w:line="576" w:lineRule="exact"/>
        <w:ind w:firstLine="48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附：委托代理人身份证。</w:t>
      </w:r>
    </w:p>
    <w:p>
      <w:pPr>
        <w:pageBreakBefore w:val="0"/>
        <w:widowControl/>
        <w:kinsoku w:val="0"/>
        <w:wordWrap/>
        <w:overflowPunct/>
        <w:autoSpaceDE w:val="0"/>
        <w:autoSpaceDN w:val="0"/>
        <w:bidi w:val="0"/>
        <w:adjustRightInd w:val="0"/>
        <w:snapToGrid w:val="0"/>
        <w:spacing w:line="576" w:lineRule="exact"/>
        <w:ind w:firstLine="480"/>
        <w:textAlignment w:val="baseline"/>
        <w:rPr>
          <w:rFonts w:hint="eastAsia" w:ascii="CESI仿宋-GB2312" w:hAnsi="CESI仿宋-GB2312" w:eastAsia="CESI仿宋-GB2312" w:cs="CESI仿宋-GB2312"/>
          <w:bCs/>
          <w:color w:val="000000"/>
          <w:sz w:val="32"/>
          <w:szCs w:val="32"/>
          <w:highlight w:val="none"/>
        </w:rPr>
      </w:pP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投标人：</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（盖单位章）</w:t>
      </w: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法定代表人：</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（签字）</w:t>
      </w: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身份证号码：</w:t>
      </w:r>
      <w:r>
        <w:rPr>
          <w:rFonts w:hint="eastAsia" w:ascii="CESI仿宋-GB2312" w:hAnsi="CESI仿宋-GB2312" w:eastAsia="CESI仿宋-GB2312" w:cs="CESI仿宋-GB2312"/>
          <w:bCs/>
          <w:color w:val="000000"/>
          <w:sz w:val="32"/>
          <w:szCs w:val="32"/>
          <w:highlight w:val="none"/>
          <w:u w:val="single"/>
        </w:rPr>
        <w:t xml:space="preserve">                                     </w:t>
      </w: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委托代理人：</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 xml:space="preserve">（签字） </w:t>
      </w:r>
    </w:p>
    <w:p>
      <w:pPr>
        <w:pageBreakBefore w:val="0"/>
        <w:widowControl/>
        <w:kinsoku w:val="0"/>
        <w:wordWrap/>
        <w:overflowPunct/>
        <w:autoSpaceDE w:val="0"/>
        <w:autoSpaceDN w:val="0"/>
        <w:bidi w:val="0"/>
        <w:adjustRightInd w:val="0"/>
        <w:snapToGrid w:val="0"/>
        <w:spacing w:line="576" w:lineRule="exact"/>
        <w:ind w:firstLine="480"/>
        <w:textAlignment w:val="baseline"/>
        <w:rPr>
          <w:rFonts w:hint="eastAsia" w:ascii="CESI仿宋-GB2312" w:hAnsi="CESI仿宋-GB2312" w:eastAsia="CESI仿宋-GB2312" w:cs="CESI仿宋-GB2312"/>
          <w:bCs/>
          <w:color w:val="000000"/>
          <w:sz w:val="32"/>
          <w:szCs w:val="32"/>
          <w:highlight w:val="none"/>
        </w:rPr>
      </w:pP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身份证号码：</w:t>
      </w:r>
      <w:r>
        <w:rPr>
          <w:rFonts w:hint="eastAsia" w:ascii="CESI仿宋-GB2312" w:hAnsi="CESI仿宋-GB2312" w:eastAsia="CESI仿宋-GB2312" w:cs="CESI仿宋-GB2312"/>
          <w:bCs/>
          <w:color w:val="000000"/>
          <w:sz w:val="32"/>
          <w:szCs w:val="32"/>
          <w:highlight w:val="none"/>
          <w:u w:val="single"/>
        </w:rPr>
        <w:t xml:space="preserve">                                      </w:t>
      </w:r>
    </w:p>
    <w:p>
      <w:pPr>
        <w:pageBreakBefore w:val="0"/>
        <w:widowControl/>
        <w:kinsoku w:val="0"/>
        <w:wordWrap/>
        <w:overflowPunct/>
        <w:autoSpaceDE w:val="0"/>
        <w:autoSpaceDN w:val="0"/>
        <w:bidi w:val="0"/>
        <w:adjustRightInd w:val="0"/>
        <w:snapToGrid w:val="0"/>
        <w:spacing w:line="576" w:lineRule="exact"/>
        <w:ind w:left="0" w:leftChars="0" w:firstLine="0" w:firstLineChars="0"/>
        <w:textAlignment w:val="baseline"/>
        <w:rPr>
          <w:rFonts w:hint="eastAsia" w:ascii="CESI仿宋-GB2312" w:hAnsi="CESI仿宋-GB2312" w:eastAsia="CESI仿宋-GB2312" w:cs="CESI仿宋-GB2312"/>
          <w:bCs/>
          <w:color w:val="000000"/>
          <w:sz w:val="32"/>
          <w:szCs w:val="32"/>
          <w:highlight w:val="none"/>
        </w:rPr>
      </w:pP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年</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月</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日</w:t>
      </w: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28"/>
          <w:szCs w:val="28"/>
          <w:highlight w:val="none"/>
        </w:rPr>
      </w:pPr>
    </w:p>
    <w:p>
      <w:pPr>
        <w:pageBreakBefore w:val="0"/>
        <w:widowControl/>
        <w:kinsoku w:val="0"/>
        <w:wordWrap/>
        <w:overflowPunct/>
        <w:autoSpaceDE w:val="0"/>
        <w:autoSpaceDN w:val="0"/>
        <w:bidi w:val="0"/>
        <w:adjustRightInd w:val="0"/>
        <w:snapToGrid w:val="0"/>
        <w:spacing w:line="576" w:lineRule="exact"/>
        <w:ind w:firstLine="0" w:firstLineChars="0"/>
        <w:textAlignment w:val="baseline"/>
        <w:rPr>
          <w:rFonts w:hint="eastAsia" w:ascii="CESI仿宋-GB2312" w:hAnsi="CESI仿宋-GB2312" w:eastAsia="CESI仿宋-GB2312" w:cs="CESI仿宋-GB2312"/>
          <w:bCs/>
          <w:color w:val="000000"/>
          <w:sz w:val="32"/>
          <w:szCs w:val="32"/>
          <w:highlight w:val="none"/>
          <w:lang w:val="zh-CN"/>
        </w:rPr>
      </w:pPr>
      <w:r>
        <w:rPr>
          <w:rFonts w:hint="eastAsia" w:ascii="CESI仿宋-GB2312" w:hAnsi="CESI仿宋-GB2312" w:eastAsia="CESI仿宋-GB2312" w:cs="CESI仿宋-GB2312"/>
          <w:bCs/>
          <w:color w:val="000000"/>
          <w:sz w:val="32"/>
          <w:szCs w:val="32"/>
          <w:highlight w:val="none"/>
          <w:lang w:val="zh-CN"/>
        </w:rPr>
        <w:t>如为法定代表人亲自参加投标，本授权书可不提供。</w:t>
      </w:r>
    </w:p>
    <w:p>
      <w:pPr>
        <w:pageBreakBefore w:val="0"/>
        <w:widowControl/>
        <w:tabs>
          <w:tab w:val="left" w:pos="1440"/>
        </w:tabs>
        <w:kinsoku w:val="0"/>
        <w:wordWrap/>
        <w:overflowPunct/>
        <w:autoSpaceDE w:val="0"/>
        <w:autoSpaceDN w:val="0"/>
        <w:bidi w:val="0"/>
        <w:adjustRightInd w:val="0"/>
        <w:snapToGrid w:val="0"/>
        <w:spacing w:line="576" w:lineRule="exact"/>
        <w:ind w:firstLine="480"/>
        <w:textAlignment w:val="baseline"/>
        <w:rPr>
          <w:rFonts w:hint="eastAsia" w:ascii="CESI仿宋-GB2312" w:hAnsi="CESI仿宋-GB2312" w:eastAsia="CESI仿宋-GB2312" w:cs="CESI仿宋-GB2312"/>
          <w:bCs/>
          <w:color w:val="000000"/>
          <w:sz w:val="32"/>
          <w:szCs w:val="32"/>
          <w:highlight w:val="none"/>
          <w:lang w:val="zh-CN"/>
        </w:rPr>
      </w:pPr>
    </w:p>
    <w:p>
      <w:pPr>
        <w:pageBreakBefore w:val="0"/>
        <w:widowControl/>
        <w:tabs>
          <w:tab w:val="left" w:pos="1440"/>
        </w:tabs>
        <w:kinsoku w:val="0"/>
        <w:wordWrap/>
        <w:overflowPunct/>
        <w:autoSpaceDE w:val="0"/>
        <w:autoSpaceDN w:val="0"/>
        <w:bidi w:val="0"/>
        <w:adjustRightInd w:val="0"/>
        <w:snapToGrid w:val="0"/>
        <w:spacing w:line="576" w:lineRule="exact"/>
        <w:ind w:firstLine="480"/>
        <w:textAlignment w:val="baseline"/>
        <w:rPr>
          <w:rFonts w:hint="eastAsia" w:ascii="CESI仿宋-GB2312" w:hAnsi="CESI仿宋-GB2312" w:eastAsia="CESI仿宋-GB2312" w:cs="CESI仿宋-GB2312"/>
          <w:bCs/>
          <w:color w:val="000000"/>
          <w:sz w:val="28"/>
          <w:szCs w:val="28"/>
          <w:highlight w:val="none"/>
          <w:lang w:val="zh-CN"/>
        </w:rPr>
      </w:pPr>
    </w:p>
    <w:p>
      <w:pPr>
        <w:pStyle w:val="3"/>
        <w:pageBreakBefore w:val="0"/>
        <w:widowControl/>
        <w:kinsoku w:val="0"/>
        <w:wordWrap/>
        <w:overflowPunct/>
        <w:autoSpaceDE w:val="0"/>
        <w:autoSpaceDN w:val="0"/>
        <w:bidi w:val="0"/>
        <w:adjustRightInd w:val="0"/>
        <w:snapToGrid w:val="0"/>
        <w:spacing w:line="576" w:lineRule="exact"/>
        <w:jc w:val="center"/>
        <w:textAlignment w:val="baseline"/>
        <w:rPr>
          <w:rFonts w:hint="eastAsia" w:ascii="Arial" w:hAnsi="Arial" w:eastAsia="黑体"/>
        </w:rPr>
      </w:pPr>
      <w:bookmarkStart w:id="70" w:name="_Toc434572385"/>
      <w:bookmarkStart w:id="71" w:name="_Toc2853508"/>
      <w:bookmarkStart w:id="72" w:name="_Toc527110454"/>
      <w:bookmarkStart w:id="73" w:name="_Toc19757"/>
      <w:bookmarkStart w:id="74" w:name="_Toc437206926"/>
      <w:bookmarkStart w:id="75" w:name="_Toc21388"/>
      <w:bookmarkStart w:id="76" w:name="_Toc39520166"/>
      <w:bookmarkStart w:id="77" w:name="_Toc6403"/>
      <w:bookmarkStart w:id="78" w:name="_Toc437010447"/>
      <w:bookmarkStart w:id="79" w:name="_Toc435525271"/>
      <w:bookmarkStart w:id="80" w:name="_Toc527111472"/>
      <w:bookmarkStart w:id="81" w:name="_Toc436302276"/>
      <w:r>
        <w:rPr>
          <w:rFonts w:hint="eastAsia" w:ascii="Arial" w:hAnsi="Arial" w:eastAsia="黑体"/>
          <w:lang w:val="en-US" w:eastAsia="zh-CN"/>
        </w:rPr>
        <w:t>三</w:t>
      </w:r>
      <w:r>
        <w:rPr>
          <w:rFonts w:hint="eastAsia" w:ascii="Arial" w:hAnsi="Arial" w:eastAsia="黑体"/>
        </w:rPr>
        <w:t>、开标一览表</w:t>
      </w:r>
      <w:bookmarkEnd w:id="70"/>
      <w:bookmarkEnd w:id="71"/>
      <w:bookmarkEnd w:id="72"/>
      <w:bookmarkEnd w:id="73"/>
      <w:bookmarkEnd w:id="74"/>
      <w:bookmarkEnd w:id="75"/>
      <w:bookmarkEnd w:id="76"/>
      <w:bookmarkEnd w:id="77"/>
      <w:bookmarkEnd w:id="78"/>
      <w:bookmarkEnd w:id="79"/>
      <w:bookmarkEnd w:id="80"/>
      <w:bookmarkEnd w:id="81"/>
    </w:p>
    <w:tbl>
      <w:tblPr>
        <w:tblStyle w:val="11"/>
        <w:tblW w:w="88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08"/>
        <w:gridCol w:w="64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trPr>
        <w:tc>
          <w:tcPr>
            <w:tcW w:w="2408"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CESI仿宋-GB2312" w:hAnsi="CESI仿宋-GB2312" w:eastAsia="CESI仿宋-GB2312" w:cs="CESI仿宋-GB2312"/>
                <w:bCs/>
                <w:color w:val="000000"/>
                <w:sz w:val="28"/>
                <w:szCs w:val="28"/>
                <w:highlight w:val="none"/>
              </w:rPr>
            </w:pPr>
            <w:r>
              <w:rPr>
                <w:rFonts w:hint="eastAsia" w:ascii="CESI仿宋-GB2312" w:hAnsi="CESI仿宋-GB2312" w:eastAsia="CESI仿宋-GB2312" w:cs="CESI仿宋-GB2312"/>
                <w:bCs/>
                <w:color w:val="000000"/>
                <w:sz w:val="28"/>
                <w:szCs w:val="28"/>
                <w:highlight w:val="none"/>
              </w:rPr>
              <w:t>项目名称</w:t>
            </w:r>
          </w:p>
        </w:tc>
        <w:tc>
          <w:tcPr>
            <w:tcW w:w="643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CESI仿宋-GB2312" w:hAnsi="CESI仿宋-GB2312" w:eastAsia="CESI仿宋-GB2312" w:cs="CESI仿宋-GB2312"/>
                <w:bCs/>
                <w:color w:val="000000"/>
                <w:sz w:val="28"/>
                <w:szCs w:val="2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2408"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CESI仿宋-GB2312" w:hAnsi="CESI仿宋-GB2312" w:eastAsia="CESI仿宋-GB2312" w:cs="CESI仿宋-GB2312"/>
                <w:bCs/>
                <w:color w:val="000000"/>
                <w:sz w:val="28"/>
                <w:szCs w:val="28"/>
                <w:highlight w:val="none"/>
              </w:rPr>
            </w:pPr>
            <w:r>
              <w:rPr>
                <w:rFonts w:hint="eastAsia" w:ascii="CESI仿宋-GB2312" w:hAnsi="CESI仿宋-GB2312" w:eastAsia="CESI仿宋-GB2312" w:cs="CESI仿宋-GB2312"/>
                <w:bCs/>
                <w:color w:val="000000"/>
                <w:sz w:val="28"/>
                <w:szCs w:val="28"/>
                <w:highlight w:val="none"/>
              </w:rPr>
              <w:t>招标编号</w:t>
            </w:r>
          </w:p>
        </w:tc>
        <w:tc>
          <w:tcPr>
            <w:tcW w:w="643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CESI仿宋-GB2312" w:hAnsi="CESI仿宋-GB2312" w:eastAsia="CESI仿宋-GB2312" w:cs="CESI仿宋-GB2312"/>
                <w:bCs/>
                <w:color w:val="000000"/>
                <w:sz w:val="28"/>
                <w:szCs w:val="28"/>
                <w:highlight w:val="none"/>
                <w:lang w:eastAsia="zh-CN"/>
              </w:rPr>
            </w:pPr>
            <w:r>
              <w:rPr>
                <w:rFonts w:hint="eastAsia" w:ascii="CESI仿宋-GB2312" w:hAnsi="CESI仿宋-GB2312" w:cs="CESI仿宋-GB2312"/>
                <w:bCs/>
                <w:color w:val="000000"/>
                <w:sz w:val="28"/>
                <w:szCs w:val="28"/>
                <w:highlight w:val="none"/>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2408"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CESI仿宋-GB2312" w:hAnsi="CESI仿宋-GB2312" w:eastAsia="CESI仿宋-GB2312" w:cs="CESI仿宋-GB2312"/>
                <w:bCs/>
                <w:color w:val="000000"/>
                <w:sz w:val="28"/>
                <w:szCs w:val="28"/>
                <w:highlight w:val="none"/>
              </w:rPr>
            </w:pPr>
            <w:r>
              <w:rPr>
                <w:rFonts w:hint="eastAsia" w:ascii="CESI仿宋-GB2312" w:hAnsi="CESI仿宋-GB2312" w:eastAsia="CESI仿宋-GB2312" w:cs="CESI仿宋-GB2312"/>
                <w:bCs/>
                <w:color w:val="000000"/>
                <w:sz w:val="28"/>
                <w:szCs w:val="28"/>
                <w:highlight w:val="none"/>
              </w:rPr>
              <w:t>投标人名称</w:t>
            </w:r>
          </w:p>
        </w:tc>
        <w:tc>
          <w:tcPr>
            <w:tcW w:w="643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CESI仿宋-GB2312" w:hAnsi="CESI仿宋-GB2312" w:eastAsia="CESI仿宋-GB2312" w:cs="CESI仿宋-GB2312"/>
                <w:bCs/>
                <w:color w:val="000000"/>
                <w:sz w:val="28"/>
                <w:szCs w:val="2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8" w:hRule="atLeast"/>
        </w:trPr>
        <w:tc>
          <w:tcPr>
            <w:tcW w:w="2408"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CESI仿宋-GB2312" w:hAnsi="CESI仿宋-GB2312" w:eastAsia="CESI仿宋-GB2312" w:cs="CESI仿宋-GB2312"/>
                <w:bCs/>
                <w:color w:val="000000"/>
                <w:sz w:val="28"/>
                <w:szCs w:val="28"/>
                <w:highlight w:val="none"/>
              </w:rPr>
            </w:pPr>
            <w:r>
              <w:rPr>
                <w:rFonts w:hint="eastAsia" w:ascii="CESI仿宋-GB2312" w:hAnsi="CESI仿宋-GB2312" w:eastAsia="CESI仿宋-GB2312" w:cs="CESI仿宋-GB2312"/>
                <w:bCs/>
                <w:color w:val="000000"/>
                <w:sz w:val="28"/>
                <w:szCs w:val="28"/>
                <w:highlight w:val="none"/>
              </w:rPr>
              <w:t>投标内容</w:t>
            </w:r>
          </w:p>
        </w:tc>
        <w:tc>
          <w:tcPr>
            <w:tcW w:w="643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CESI仿宋-GB2312" w:hAnsi="CESI仿宋-GB2312" w:eastAsia="CESI仿宋-GB2312" w:cs="CESI仿宋-GB2312"/>
                <w:bCs/>
                <w:color w:val="000000"/>
                <w:sz w:val="28"/>
                <w:szCs w:val="28"/>
                <w:highlight w:val="none"/>
              </w:rPr>
            </w:pPr>
            <w:bookmarkStart w:id="154" w:name="_GoBack"/>
            <w:bookmarkEnd w:id="154"/>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2408"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CESI仿宋-GB2312" w:hAnsi="CESI仿宋-GB2312" w:eastAsia="CESI仿宋-GB2312" w:cs="CESI仿宋-GB2312"/>
                <w:bCs/>
                <w:color w:val="000000"/>
                <w:sz w:val="28"/>
                <w:szCs w:val="28"/>
                <w:highlight w:val="none"/>
              </w:rPr>
            </w:pPr>
            <w:r>
              <w:rPr>
                <w:rFonts w:hint="eastAsia" w:ascii="CESI仿宋-GB2312" w:hAnsi="CESI仿宋-GB2312" w:eastAsia="CESI仿宋-GB2312" w:cs="CESI仿宋-GB2312"/>
                <w:bCs/>
                <w:color w:val="000000"/>
                <w:sz w:val="28"/>
                <w:szCs w:val="28"/>
                <w:highlight w:val="none"/>
              </w:rPr>
              <w:t>投标总价</w:t>
            </w:r>
          </w:p>
        </w:tc>
        <w:tc>
          <w:tcPr>
            <w:tcW w:w="643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CESI仿宋-GB2312" w:hAnsi="CESI仿宋-GB2312" w:eastAsia="CESI仿宋-GB2312" w:cs="CESI仿宋-GB2312"/>
                <w:bCs/>
                <w:color w:val="000000"/>
                <w:sz w:val="28"/>
                <w:szCs w:val="2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trPr>
        <w:tc>
          <w:tcPr>
            <w:tcW w:w="2408"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CESI仿宋-GB2312" w:hAnsi="CESI仿宋-GB2312" w:eastAsia="CESI仿宋-GB2312" w:cs="CESI仿宋-GB2312"/>
                <w:bCs/>
                <w:color w:val="000000"/>
                <w:sz w:val="28"/>
                <w:szCs w:val="28"/>
                <w:highlight w:val="none"/>
              </w:rPr>
            </w:pPr>
            <w:r>
              <w:rPr>
                <w:rFonts w:hint="eastAsia" w:ascii="CESI仿宋-GB2312" w:hAnsi="CESI仿宋-GB2312" w:eastAsia="CESI仿宋-GB2312" w:cs="CESI仿宋-GB2312"/>
                <w:bCs/>
                <w:color w:val="000000"/>
                <w:sz w:val="28"/>
                <w:szCs w:val="28"/>
                <w:highlight w:val="none"/>
              </w:rPr>
              <w:t>合同履行期限</w:t>
            </w:r>
          </w:p>
        </w:tc>
        <w:tc>
          <w:tcPr>
            <w:tcW w:w="643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CESI仿宋-GB2312" w:hAnsi="CESI仿宋-GB2312" w:eastAsia="CESI仿宋-GB2312" w:cs="CESI仿宋-GB2312"/>
                <w:bCs/>
                <w:color w:val="000000"/>
                <w:sz w:val="28"/>
                <w:szCs w:val="28"/>
                <w:highlight w:val="none"/>
              </w:rPr>
            </w:pPr>
          </w:p>
        </w:tc>
      </w:tr>
    </w:tbl>
    <w:p>
      <w:pPr>
        <w:pageBreakBefore w:val="0"/>
        <w:wordWrap/>
        <w:overflowPunct/>
        <w:bidi w:val="0"/>
        <w:spacing w:line="576" w:lineRule="exact"/>
        <w:ind w:firstLine="826" w:firstLineChars="295"/>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0" w:firstLineChars="0"/>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注：1.投标人必须按表中规定格式完整、清晰、填写所投设备的所有实质性内容；</w:t>
      </w:r>
    </w:p>
    <w:p>
      <w:pPr>
        <w:pageBreakBefore w:val="0"/>
        <w:wordWrap/>
        <w:overflowPunct/>
        <w:topLinePunct w:val="0"/>
        <w:bidi w:val="0"/>
        <w:spacing w:line="576" w:lineRule="exact"/>
        <w:ind w:firstLine="560"/>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2.投标总价应是最终用户验收合格后的总价</w:t>
      </w:r>
    </w:p>
    <w:p>
      <w:pPr>
        <w:pageBreakBefore w:val="0"/>
        <w:wordWrap/>
        <w:overflowPunct/>
        <w:topLinePunct w:val="0"/>
        <w:bidi w:val="0"/>
        <w:spacing w:line="576" w:lineRule="exact"/>
        <w:ind w:firstLine="560"/>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3.开标一览表不得填报有选择性的报价方案。该表中的报价应与投标文件中的报价完全一致，否则将以开标一览表价格为准。</w:t>
      </w:r>
    </w:p>
    <w:p>
      <w:pPr>
        <w:bidi w:val="0"/>
        <w:rPr>
          <w:rFonts w:hint="eastAsia"/>
        </w:rPr>
      </w:pPr>
    </w:p>
    <w:p>
      <w:pPr>
        <w:pageBreakBefore w:val="0"/>
        <w:tabs>
          <w:tab w:val="left" w:pos="6120"/>
        </w:tabs>
        <w:wordWrap/>
        <w:overflowPunct/>
        <w:topLinePunct w:val="0"/>
        <w:bidi w:val="0"/>
        <w:snapToGrid w:val="0"/>
        <w:spacing w:line="576" w:lineRule="exact"/>
        <w:ind w:firstLine="560"/>
        <w:jc w:val="left"/>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投标人：</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（盖单位章）</w:t>
      </w:r>
    </w:p>
    <w:p>
      <w:pPr>
        <w:pageBreakBefore w:val="0"/>
        <w:wordWrap/>
        <w:overflowPunct/>
        <w:topLinePunct w:val="0"/>
        <w:bidi w:val="0"/>
        <w:spacing w:line="576" w:lineRule="exact"/>
        <w:ind w:firstLine="560"/>
        <w:rPr>
          <w:rFonts w:hint="eastAsia" w:ascii="CESI仿宋-GB2312" w:hAnsi="CESI仿宋-GB2312" w:eastAsia="CESI仿宋-GB2312" w:cs="CESI仿宋-GB2312"/>
          <w:bCs/>
          <w:color w:val="000000"/>
          <w:w w:val="99"/>
          <w:sz w:val="32"/>
          <w:szCs w:val="32"/>
          <w:highlight w:val="none"/>
        </w:rPr>
      </w:pPr>
      <w:r>
        <w:rPr>
          <w:rFonts w:hint="eastAsia" w:ascii="CESI仿宋-GB2312" w:hAnsi="CESI仿宋-GB2312" w:eastAsia="CESI仿宋-GB2312" w:cs="CESI仿宋-GB2312"/>
          <w:bCs/>
          <w:color w:val="000000"/>
          <w:sz w:val="32"/>
          <w:szCs w:val="32"/>
          <w:highlight w:val="none"/>
        </w:rPr>
        <w:t>法定代表人或其委托代理人：</w:t>
      </w:r>
      <w:r>
        <w:rPr>
          <w:rFonts w:hint="eastAsia" w:ascii="CESI仿宋-GB2312" w:hAnsi="CESI仿宋-GB2312" w:eastAsia="CESI仿宋-GB2312" w:cs="CESI仿宋-GB2312"/>
          <w:bCs/>
          <w:color w:val="000000"/>
          <w:w w:val="198"/>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（签字）</w:t>
      </w:r>
    </w:p>
    <w:p>
      <w:pPr>
        <w:pageBreakBefore w:val="0"/>
        <w:wordWrap/>
        <w:overflowPunct/>
        <w:topLinePunct w:val="0"/>
        <w:bidi w:val="0"/>
        <w:spacing w:line="576" w:lineRule="exact"/>
        <w:ind w:firstLine="560"/>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 xml:space="preserve">日　期： </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年</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月</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日</w:t>
      </w:r>
    </w:p>
    <w:p>
      <w:pPr>
        <w:pStyle w:val="4"/>
        <w:pageBreakBefore w:val="0"/>
        <w:wordWrap/>
        <w:overflowPunct/>
        <w:topLinePunct w:val="0"/>
        <w:bidi w:val="0"/>
        <w:spacing w:after="0" w:line="576" w:lineRule="exact"/>
        <w:ind w:firstLine="560"/>
        <w:rPr>
          <w:rFonts w:hint="eastAsia" w:ascii="CESI仿宋-GB2312" w:hAnsi="CESI仿宋-GB2312" w:eastAsia="CESI仿宋-GB2312" w:cs="CESI仿宋-GB2312"/>
          <w:bCs/>
          <w:color w:val="000000"/>
          <w:sz w:val="28"/>
          <w:szCs w:val="28"/>
          <w:highlight w:val="none"/>
        </w:rPr>
      </w:pPr>
    </w:p>
    <w:p>
      <w:pPr>
        <w:pStyle w:val="10"/>
        <w:pageBreakBefore w:val="0"/>
        <w:wordWrap/>
        <w:overflowPunct/>
        <w:topLinePunct w:val="0"/>
        <w:bidi w:val="0"/>
        <w:spacing w:before="0" w:after="0" w:line="576" w:lineRule="exact"/>
        <w:ind w:firstLine="21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0" w:firstLineChars="0"/>
        <w:rPr>
          <w:rFonts w:hint="eastAsia" w:ascii="CESI仿宋-GB2312" w:hAnsi="CESI仿宋-GB2312" w:eastAsia="CESI仿宋-GB2312" w:cs="CESI仿宋-GB2312"/>
          <w:bCs/>
          <w:color w:val="000000"/>
          <w:sz w:val="28"/>
          <w:szCs w:val="28"/>
          <w:highlight w:val="none"/>
        </w:rPr>
      </w:pPr>
      <w:bookmarkStart w:id="82" w:name="_Toc299183713"/>
      <w:bookmarkStart w:id="83" w:name="_Toc289103108"/>
      <w:bookmarkStart w:id="84" w:name="_Toc299186881"/>
      <w:bookmarkStart w:id="85" w:name="_Toc39520167"/>
      <w:bookmarkStart w:id="86" w:name="_Toc436302277"/>
      <w:bookmarkStart w:id="87" w:name="_Toc299200405"/>
      <w:bookmarkStart w:id="88" w:name="_Toc435525272"/>
      <w:bookmarkStart w:id="89" w:name="_Toc437010448"/>
      <w:bookmarkStart w:id="90" w:name="_Toc328571403"/>
      <w:bookmarkStart w:id="91" w:name="_Toc437206927"/>
      <w:bookmarkStart w:id="92" w:name="_Toc299202404"/>
      <w:bookmarkStart w:id="93" w:name="_Toc527110455"/>
      <w:bookmarkStart w:id="94" w:name="_Toc6614"/>
      <w:bookmarkStart w:id="95" w:name="_Toc299295398"/>
      <w:bookmarkStart w:id="96" w:name="_Toc299297036"/>
      <w:bookmarkStart w:id="97" w:name="_Toc299282539"/>
      <w:bookmarkStart w:id="98" w:name="_Toc299299374"/>
      <w:bookmarkStart w:id="99" w:name="_Toc299291982"/>
      <w:bookmarkStart w:id="100" w:name="_Toc308616504"/>
      <w:bookmarkStart w:id="101" w:name="_Toc309119799"/>
      <w:bookmarkStart w:id="102" w:name="_Toc434572386"/>
      <w:bookmarkStart w:id="103" w:name="_Toc2853509"/>
      <w:bookmarkStart w:id="104" w:name="_Toc527111473"/>
      <w:bookmarkStart w:id="105" w:name="_Toc290293171"/>
      <w:r>
        <w:rPr>
          <w:rStyle w:val="18"/>
          <w:rFonts w:hint="eastAsia" w:ascii="CESI仿宋-GB2312" w:hAnsi="CESI仿宋-GB2312" w:eastAsia="CESI仿宋-GB2312" w:cs="CESI仿宋-GB2312"/>
          <w:b w:val="0"/>
          <w:bCs/>
          <w:color w:val="000000"/>
          <w:position w:val="-6"/>
          <w:sz w:val="28"/>
          <w:szCs w:val="28"/>
          <w:highlight w:val="none"/>
        </w:rPr>
        <w:br w:type="page"/>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3"/>
        <w:pageBreakBefore w:val="0"/>
        <w:wordWrap/>
        <w:overflowPunct/>
        <w:topLinePunct w:val="0"/>
        <w:bidi w:val="0"/>
        <w:spacing w:line="576" w:lineRule="exact"/>
        <w:jc w:val="center"/>
        <w:rPr>
          <w:rFonts w:hint="eastAsia" w:ascii="Arial" w:hAnsi="Arial" w:eastAsia="黑体"/>
          <w:lang w:val="en-US" w:eastAsia="zh-CN"/>
        </w:rPr>
      </w:pPr>
      <w:bookmarkStart w:id="106" w:name="_Toc39520168"/>
      <w:bookmarkStart w:id="107" w:name="_Toc527111474"/>
      <w:bookmarkStart w:id="108" w:name="_Toc1585"/>
      <w:bookmarkStart w:id="109" w:name="_Toc435525273"/>
      <w:bookmarkStart w:id="110" w:name="_Toc437010449"/>
      <w:bookmarkStart w:id="111" w:name="_Toc434572387"/>
      <w:bookmarkStart w:id="112" w:name="_Toc527110456"/>
      <w:bookmarkStart w:id="113" w:name="_Toc436302278"/>
      <w:bookmarkStart w:id="114" w:name="_Toc437206928"/>
      <w:bookmarkStart w:id="115" w:name="_Toc2853510"/>
      <w:bookmarkStart w:id="116" w:name="_Toc3374"/>
      <w:bookmarkStart w:id="117" w:name="_Toc28645"/>
      <w:r>
        <w:rPr>
          <w:rFonts w:hint="eastAsia" w:ascii="Arial" w:hAnsi="Arial" w:eastAsia="黑体"/>
          <w:lang w:val="en-US" w:eastAsia="zh-CN"/>
        </w:rPr>
        <w:t>四、技术</w:t>
      </w:r>
      <w:bookmarkEnd w:id="106"/>
      <w:bookmarkEnd w:id="107"/>
      <w:bookmarkEnd w:id="108"/>
      <w:bookmarkEnd w:id="109"/>
      <w:bookmarkEnd w:id="110"/>
      <w:bookmarkEnd w:id="111"/>
      <w:bookmarkEnd w:id="112"/>
      <w:bookmarkEnd w:id="113"/>
      <w:bookmarkEnd w:id="114"/>
      <w:bookmarkEnd w:id="115"/>
      <w:r>
        <w:rPr>
          <w:rFonts w:hint="eastAsia" w:ascii="Arial" w:hAnsi="Arial" w:eastAsia="黑体"/>
          <w:lang w:val="en-US" w:eastAsia="zh-CN"/>
        </w:rPr>
        <w:t>部分</w:t>
      </w:r>
      <w:bookmarkEnd w:id="116"/>
      <w:bookmarkEnd w:id="117"/>
    </w:p>
    <w:p>
      <w:pPr>
        <w:pageBreakBefore w:val="0"/>
        <w:wordWrap/>
        <w:overflowPunct/>
        <w:topLinePunct w:val="0"/>
        <w:bidi w:val="0"/>
        <w:spacing w:line="576" w:lineRule="exact"/>
        <w:ind w:firstLine="480"/>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注：格式由投标人自行确定。</w:t>
      </w:r>
    </w:p>
    <w:p>
      <w:pPr>
        <w:pageBreakBefore w:val="0"/>
        <w:wordWrap/>
        <w:overflowPunct/>
        <w:topLinePunct w:val="0"/>
        <w:bidi w:val="0"/>
        <w:spacing w:line="576" w:lineRule="exact"/>
        <w:ind w:firstLine="1280" w:firstLineChars="400"/>
        <w:rPr>
          <w:rFonts w:hint="eastAsia" w:ascii="CESI仿宋-GB2312" w:hAnsi="CESI仿宋-GB2312" w:eastAsia="CESI仿宋-GB2312" w:cs="CESI仿宋-GB2312"/>
          <w:bCs/>
          <w:color w:val="000000"/>
          <w:sz w:val="32"/>
          <w:szCs w:val="32"/>
          <w:highlight w:val="none"/>
        </w:rPr>
      </w:pPr>
    </w:p>
    <w:p>
      <w:pPr>
        <w:pageBreakBefore w:val="0"/>
        <w:wordWrap/>
        <w:overflowPunct/>
        <w:topLinePunct w:val="0"/>
        <w:bidi w:val="0"/>
        <w:spacing w:line="576" w:lineRule="exact"/>
        <w:ind w:firstLine="1280" w:firstLineChars="400"/>
        <w:rPr>
          <w:rFonts w:hint="eastAsia" w:ascii="CESI仿宋-GB2312" w:hAnsi="CESI仿宋-GB2312" w:eastAsia="CESI仿宋-GB2312" w:cs="CESI仿宋-GB2312"/>
          <w:bCs/>
          <w:color w:val="000000"/>
          <w:sz w:val="32"/>
          <w:szCs w:val="32"/>
          <w:highlight w:val="none"/>
        </w:rPr>
      </w:pPr>
    </w:p>
    <w:p>
      <w:pPr>
        <w:pageBreakBefore w:val="0"/>
        <w:wordWrap/>
        <w:overflowPunct/>
        <w:topLinePunct w:val="0"/>
        <w:bidi w:val="0"/>
        <w:spacing w:line="576" w:lineRule="exact"/>
        <w:ind w:firstLine="1120" w:firstLineChars="40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1120" w:firstLineChars="40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1120" w:firstLineChars="40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1120" w:firstLineChars="40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1120" w:firstLineChars="400"/>
        <w:rPr>
          <w:rFonts w:hint="eastAsia" w:ascii="CESI仿宋-GB2312" w:hAnsi="CESI仿宋-GB2312" w:eastAsia="CESI仿宋-GB2312" w:cs="CESI仿宋-GB2312"/>
          <w:bCs/>
          <w:color w:val="000000"/>
          <w:sz w:val="28"/>
          <w:szCs w:val="28"/>
          <w:highlight w:val="none"/>
        </w:rPr>
      </w:pPr>
    </w:p>
    <w:p>
      <w:pPr>
        <w:pageBreakBefore w:val="0"/>
        <w:widowControl/>
        <w:wordWrap/>
        <w:overflowPunct/>
        <w:topLinePunct w:val="0"/>
        <w:bidi w:val="0"/>
        <w:spacing w:line="576" w:lineRule="exact"/>
        <w:ind w:firstLine="0" w:firstLineChars="0"/>
        <w:jc w:val="left"/>
        <w:rPr>
          <w:rFonts w:hint="eastAsia" w:ascii="CESI仿宋-GB2312" w:hAnsi="CESI仿宋-GB2312" w:eastAsia="CESI仿宋-GB2312" w:cs="CESI仿宋-GB2312"/>
          <w:bCs/>
          <w:color w:val="000000"/>
          <w:sz w:val="28"/>
          <w:szCs w:val="28"/>
          <w:highlight w:val="none"/>
        </w:rPr>
      </w:pPr>
    </w:p>
    <w:p>
      <w:pPr>
        <w:pStyle w:val="4"/>
        <w:pageBreakBefore w:val="0"/>
        <w:wordWrap/>
        <w:overflowPunct/>
        <w:topLinePunct w:val="0"/>
        <w:bidi w:val="0"/>
        <w:spacing w:after="0" w:line="576" w:lineRule="exact"/>
        <w:ind w:firstLine="48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480"/>
        <w:rPr>
          <w:rFonts w:hint="eastAsia" w:ascii="CESI仿宋-GB2312" w:hAnsi="CESI仿宋-GB2312" w:eastAsia="CESI仿宋-GB2312" w:cs="CESI仿宋-GB2312"/>
          <w:bCs/>
          <w:color w:val="000000"/>
          <w:sz w:val="28"/>
          <w:szCs w:val="28"/>
          <w:highlight w:val="none"/>
        </w:rPr>
      </w:pPr>
    </w:p>
    <w:p>
      <w:pPr>
        <w:pStyle w:val="4"/>
        <w:pageBreakBefore w:val="0"/>
        <w:wordWrap/>
        <w:overflowPunct/>
        <w:topLinePunct w:val="0"/>
        <w:bidi w:val="0"/>
        <w:spacing w:after="0" w:line="576" w:lineRule="exact"/>
        <w:ind w:firstLine="48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480"/>
        <w:rPr>
          <w:rFonts w:hint="eastAsia" w:ascii="CESI仿宋-GB2312" w:hAnsi="CESI仿宋-GB2312" w:eastAsia="CESI仿宋-GB2312" w:cs="CESI仿宋-GB2312"/>
          <w:bCs/>
          <w:color w:val="000000"/>
          <w:sz w:val="28"/>
          <w:szCs w:val="28"/>
          <w:highlight w:val="none"/>
        </w:rPr>
      </w:pPr>
    </w:p>
    <w:p>
      <w:pPr>
        <w:pStyle w:val="4"/>
        <w:pageBreakBefore w:val="0"/>
        <w:wordWrap/>
        <w:overflowPunct/>
        <w:topLinePunct w:val="0"/>
        <w:bidi w:val="0"/>
        <w:spacing w:after="0" w:line="576" w:lineRule="exact"/>
        <w:ind w:firstLine="48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48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640"/>
        <w:rPr>
          <w:rFonts w:hint="eastAsia" w:ascii="CESI仿宋-GB2312" w:hAnsi="CESI仿宋-GB2312" w:eastAsia="CESI仿宋-GB2312" w:cs="CESI仿宋-GB2312"/>
          <w:bCs/>
          <w:color w:val="000000"/>
          <w:sz w:val="28"/>
          <w:szCs w:val="28"/>
          <w:highlight w:val="none"/>
        </w:rPr>
      </w:pPr>
    </w:p>
    <w:p>
      <w:pPr>
        <w:pStyle w:val="4"/>
        <w:pageBreakBefore w:val="0"/>
        <w:wordWrap/>
        <w:overflowPunct/>
        <w:topLinePunct w:val="0"/>
        <w:bidi w:val="0"/>
        <w:spacing w:after="0" w:line="576" w:lineRule="exact"/>
        <w:ind w:firstLine="42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640"/>
        <w:rPr>
          <w:rFonts w:hint="eastAsia" w:ascii="CESI仿宋-GB2312" w:hAnsi="CESI仿宋-GB2312" w:eastAsia="CESI仿宋-GB2312" w:cs="CESI仿宋-GB2312"/>
          <w:bCs/>
          <w:color w:val="000000"/>
          <w:sz w:val="28"/>
          <w:szCs w:val="28"/>
          <w:highlight w:val="none"/>
        </w:rPr>
      </w:pPr>
    </w:p>
    <w:p>
      <w:pPr>
        <w:pStyle w:val="4"/>
        <w:pageBreakBefore w:val="0"/>
        <w:wordWrap/>
        <w:overflowPunct/>
        <w:topLinePunct w:val="0"/>
        <w:bidi w:val="0"/>
        <w:spacing w:after="0" w:line="576" w:lineRule="exact"/>
        <w:ind w:firstLine="42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640"/>
        <w:rPr>
          <w:rFonts w:hint="eastAsia" w:ascii="CESI仿宋-GB2312" w:hAnsi="CESI仿宋-GB2312" w:eastAsia="CESI仿宋-GB2312" w:cs="CESI仿宋-GB2312"/>
          <w:bCs/>
          <w:color w:val="000000"/>
          <w:sz w:val="28"/>
          <w:szCs w:val="28"/>
          <w:highlight w:val="none"/>
        </w:rPr>
      </w:pPr>
    </w:p>
    <w:p>
      <w:pPr>
        <w:pStyle w:val="4"/>
        <w:pageBreakBefore w:val="0"/>
        <w:wordWrap/>
        <w:overflowPunct/>
        <w:topLinePunct w:val="0"/>
        <w:bidi w:val="0"/>
        <w:spacing w:after="0" w:line="576" w:lineRule="exact"/>
        <w:ind w:firstLine="42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640"/>
        <w:rPr>
          <w:rFonts w:hint="eastAsia" w:ascii="CESI仿宋-GB2312" w:hAnsi="CESI仿宋-GB2312" w:eastAsia="CESI仿宋-GB2312" w:cs="CESI仿宋-GB2312"/>
          <w:bCs/>
          <w:color w:val="000000"/>
          <w:sz w:val="28"/>
          <w:szCs w:val="28"/>
          <w:highlight w:val="none"/>
        </w:rPr>
      </w:pPr>
    </w:p>
    <w:p>
      <w:pPr>
        <w:pStyle w:val="3"/>
        <w:pageBreakBefore w:val="0"/>
        <w:wordWrap/>
        <w:overflowPunct/>
        <w:topLinePunct w:val="0"/>
        <w:bidi w:val="0"/>
        <w:spacing w:line="576" w:lineRule="exact"/>
        <w:jc w:val="center"/>
        <w:rPr>
          <w:rFonts w:hint="eastAsia" w:ascii="Arial" w:hAnsi="Arial" w:eastAsia="黑体"/>
          <w:lang w:val="en-US" w:eastAsia="zh-CN"/>
        </w:rPr>
      </w:pPr>
      <w:bookmarkStart w:id="118" w:name="_Toc287438514"/>
      <w:bookmarkStart w:id="119" w:name="_Toc527110459"/>
      <w:bookmarkStart w:id="120" w:name="_Toc218410302"/>
      <w:bookmarkStart w:id="121" w:name="_Toc287521541"/>
      <w:bookmarkStart w:id="122" w:name="_Toc7926"/>
      <w:bookmarkStart w:id="123" w:name="_Toc24118"/>
      <w:bookmarkStart w:id="124" w:name="_Toc436302282"/>
      <w:bookmarkStart w:id="125" w:name="_Toc437206932"/>
      <w:bookmarkStart w:id="126" w:name="_Toc437010453"/>
      <w:bookmarkStart w:id="127" w:name="_Toc185047533"/>
      <w:bookmarkStart w:id="128" w:name="_Toc435525277"/>
      <w:bookmarkStart w:id="129" w:name="_Toc2853514"/>
      <w:bookmarkStart w:id="130" w:name="_Toc24058"/>
      <w:bookmarkStart w:id="131" w:name="_Toc434572390"/>
      <w:bookmarkStart w:id="132" w:name="_Toc527111477"/>
      <w:bookmarkStart w:id="133" w:name="_Toc39520171"/>
      <w:bookmarkStart w:id="134" w:name="_Toc279499439"/>
      <w:r>
        <w:rPr>
          <w:rFonts w:hint="eastAsia" w:ascii="Arial" w:hAnsi="Arial" w:eastAsia="黑体"/>
          <w:lang w:val="en-US" w:eastAsia="zh-CN"/>
        </w:rPr>
        <w:t>五、资格审查资料</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ageBreakBefore w:val="0"/>
        <w:wordWrap/>
        <w:overflowPunct/>
        <w:topLinePunct w:val="0"/>
        <w:bidi w:val="0"/>
        <w:spacing w:line="576" w:lineRule="exact"/>
        <w:rPr>
          <w:rFonts w:hint="eastAsia"/>
          <w:sz w:val="32"/>
          <w:szCs w:val="32"/>
          <w:lang w:val="en-US" w:eastAsia="zh-CN"/>
        </w:rPr>
      </w:pPr>
      <w:bookmarkStart w:id="135" w:name="_Toc437206938"/>
      <w:bookmarkStart w:id="136" w:name="_Toc437010459"/>
      <w:bookmarkStart w:id="137" w:name="_Toc436302291"/>
      <w:bookmarkStart w:id="138" w:name="_Toc23416"/>
      <w:bookmarkStart w:id="139" w:name="_Toc423526403"/>
      <w:bookmarkStart w:id="140" w:name="_Toc32247"/>
      <w:bookmarkStart w:id="141" w:name="_Toc3845"/>
      <w:r>
        <w:rPr>
          <w:rFonts w:hint="eastAsia"/>
          <w:sz w:val="32"/>
          <w:szCs w:val="32"/>
          <w:lang w:val="en-US" w:eastAsia="zh-CN"/>
        </w:rPr>
        <w:t>（一）投标人基本情况</w:t>
      </w:r>
    </w:p>
    <w:p>
      <w:pPr>
        <w:pageBreakBefore w:val="0"/>
        <w:wordWrap/>
        <w:overflowPunct/>
        <w:topLinePunct w:val="0"/>
        <w:bidi w:val="0"/>
        <w:spacing w:line="576" w:lineRule="exact"/>
        <w:rPr>
          <w:rFonts w:hint="eastAsia"/>
          <w:sz w:val="32"/>
          <w:szCs w:val="32"/>
        </w:rPr>
      </w:pPr>
      <w:r>
        <w:rPr>
          <w:rFonts w:hint="eastAsia"/>
          <w:sz w:val="32"/>
          <w:szCs w:val="32"/>
        </w:rPr>
        <w:t>（二）资格审查资料</w:t>
      </w:r>
    </w:p>
    <w:p>
      <w:pPr>
        <w:pageBreakBefore w:val="0"/>
        <w:wordWrap/>
        <w:overflowPunct/>
        <w:topLinePunct w:val="0"/>
        <w:bidi w:val="0"/>
        <w:spacing w:line="576" w:lineRule="exac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1、具有独立承担民事责任的能力（提供营业执照或相关证明材料）。</w:t>
      </w:r>
    </w:p>
    <w:p>
      <w:pPr>
        <w:pageBreakBefore w:val="0"/>
        <w:wordWrap/>
        <w:overflowPunct/>
        <w:topLinePunct w:val="0"/>
        <w:bidi w:val="0"/>
        <w:spacing w:line="576" w:lineRule="exac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2、具有健全的财务会计制度（提供财务会计制度或202</w:t>
      </w:r>
      <w:r>
        <w:rPr>
          <w:rFonts w:hint="eastAsia" w:ascii="CESI仿宋-GB2312" w:hAnsi="CESI仿宋-GB2312" w:eastAsia="CESI仿宋-GB2312" w:cs="CESI仿宋-GB2312"/>
          <w:sz w:val="32"/>
          <w:szCs w:val="32"/>
          <w:lang w:val="en-US" w:eastAsia="zh-CN"/>
        </w:rPr>
        <w:t>4或2025</w:t>
      </w:r>
      <w:r>
        <w:rPr>
          <w:rFonts w:hint="eastAsia" w:ascii="CESI仿宋-GB2312" w:hAnsi="CESI仿宋-GB2312" w:eastAsia="CESI仿宋-GB2312" w:cs="CESI仿宋-GB2312"/>
          <w:sz w:val="32"/>
          <w:szCs w:val="32"/>
        </w:rPr>
        <w:t>年财务审计报告）。</w:t>
      </w:r>
    </w:p>
    <w:p>
      <w:pPr>
        <w:pageBreakBefore w:val="0"/>
        <w:wordWrap/>
        <w:overflowPunct/>
        <w:topLinePunct w:val="0"/>
        <w:bidi w:val="0"/>
        <w:spacing w:line="576" w:lineRule="exac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3、具有履行合同所必需的专业货物、人员和技术能力（提供证明材料或承诺）。</w:t>
      </w:r>
    </w:p>
    <w:p>
      <w:pPr>
        <w:pageBreakBefore w:val="0"/>
        <w:wordWrap/>
        <w:overflowPunct/>
        <w:topLinePunct w:val="0"/>
        <w:bidi w:val="0"/>
        <w:spacing w:line="576" w:lineRule="exac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4、有依法缴纳税收和社会保障资金的良好记录（提供缴纳税收和社会保障金的证明材料或承诺）。</w:t>
      </w:r>
    </w:p>
    <w:p>
      <w:pPr>
        <w:pageBreakBefore w:val="0"/>
        <w:wordWrap/>
        <w:overflowPunct/>
        <w:topLinePunct w:val="0"/>
        <w:bidi w:val="0"/>
        <w:spacing w:line="576" w:lineRule="exac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5、参加政府采购活动前3年内，在经营活动中没有重大违法记录（提供书面声明或承诺）。</w:t>
      </w:r>
    </w:p>
    <w:p>
      <w:pPr>
        <w:pageBreakBefore w:val="0"/>
        <w:wordWrap/>
        <w:overflowPunct/>
        <w:topLinePunct w:val="0"/>
        <w:bidi w:val="0"/>
        <w:spacing w:line="576" w:lineRule="exac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6、未被“</w:t>
      </w:r>
      <w:r>
        <w:rPr>
          <w:rFonts w:hint="eastAsia" w:ascii="CESI仿宋-GB2312" w:hAnsi="CESI仿宋-GB2312" w:eastAsia="CESI仿宋-GB2312" w:cs="CESI仿宋-GB2312"/>
          <w:sz w:val="32"/>
          <w:szCs w:val="32"/>
        </w:rPr>
        <w:fldChar w:fldCharType="begin"/>
      </w:r>
      <w:r>
        <w:rPr>
          <w:rFonts w:hint="eastAsia" w:ascii="CESI仿宋-GB2312" w:hAnsi="CESI仿宋-GB2312" w:eastAsia="CESI仿宋-GB2312" w:cs="CESI仿宋-GB2312"/>
          <w:sz w:val="32"/>
          <w:szCs w:val="32"/>
        </w:rPr>
        <w:instrText xml:space="preserve"> HYPERLINK "http://www.so.com/link?m=avKStJofbrIsaBqw%2B%2B2vdAxtcVz2JXf%2FXa3tKu3k8uQ6sTyKhNTKbLvskNzGQ74UIPt9%2F0BN0Jelc4r1UxQ69fD%2Bv0%2FefCkvvEhoC8y%2BInSX1ws98V%2FCSvvk%2FQTK9V%2BhAFHlLvUFd0owQxHj9cFmYJGtUDMuQMY%2FwMQtL3BieRLdY6OV2zdPkpw%3D%3D" \t "_blank" </w:instrText>
      </w:r>
      <w:r>
        <w:rPr>
          <w:rFonts w:hint="eastAsia" w:ascii="CESI仿宋-GB2312" w:hAnsi="CESI仿宋-GB2312" w:eastAsia="CESI仿宋-GB2312" w:cs="CESI仿宋-GB2312"/>
          <w:sz w:val="32"/>
          <w:szCs w:val="32"/>
        </w:rPr>
        <w:fldChar w:fldCharType="separate"/>
      </w:r>
      <w:r>
        <w:rPr>
          <w:rFonts w:hint="eastAsia" w:ascii="CESI仿宋-GB2312" w:hAnsi="CESI仿宋-GB2312" w:eastAsia="CESI仿宋-GB2312" w:cs="CESI仿宋-GB2312"/>
          <w:sz w:val="32"/>
          <w:szCs w:val="32"/>
        </w:rPr>
        <w:t>国家企业信用信息公示系统</w:t>
      </w:r>
      <w:r>
        <w:rPr>
          <w:rFonts w:hint="eastAsia" w:ascii="CESI仿宋-GB2312" w:hAnsi="CESI仿宋-GB2312" w:eastAsia="CESI仿宋-GB2312" w:cs="CESI仿宋-GB2312"/>
          <w:sz w:val="32"/>
          <w:szCs w:val="32"/>
        </w:rPr>
        <w:fldChar w:fldCharType="end"/>
      </w:r>
      <w:r>
        <w:rPr>
          <w:rFonts w:hint="eastAsia" w:ascii="CESI仿宋-GB2312" w:hAnsi="CESI仿宋-GB2312" w:eastAsia="CESI仿宋-GB2312" w:cs="CESI仿宋-GB2312"/>
          <w:sz w:val="32"/>
          <w:szCs w:val="32"/>
        </w:rPr>
        <w:t>”网站、“信用中国”网站、“中国裁判文书网”</w:t>
      </w:r>
      <w:r>
        <w:rPr>
          <w:rFonts w:hint="eastAsia" w:ascii="CESI仿宋-GB2312" w:hAnsi="CESI仿宋-GB2312" w:eastAsia="CESI仿宋-GB2312" w:cs="CESI仿宋-GB2312"/>
          <w:sz w:val="32"/>
          <w:szCs w:val="32"/>
        </w:rPr>
        <w:fldChar w:fldCharType="begin"/>
      </w:r>
      <w:r>
        <w:rPr>
          <w:rFonts w:hint="eastAsia" w:ascii="CESI仿宋-GB2312" w:hAnsi="CESI仿宋-GB2312" w:eastAsia="CESI仿宋-GB2312" w:cs="CESI仿宋-GB2312"/>
          <w:sz w:val="32"/>
          <w:szCs w:val="32"/>
        </w:rPr>
        <w:instrText xml:space="preserve"> HYPERLINK "http://www.creditchina.gov.cn）中列入失信被执行人和/" </w:instrText>
      </w:r>
      <w:r>
        <w:rPr>
          <w:rFonts w:hint="eastAsia" w:ascii="CESI仿宋-GB2312" w:hAnsi="CESI仿宋-GB2312" w:eastAsia="CESI仿宋-GB2312" w:cs="CESI仿宋-GB2312"/>
          <w:sz w:val="32"/>
          <w:szCs w:val="32"/>
        </w:rPr>
        <w:fldChar w:fldCharType="separate"/>
      </w:r>
      <w:r>
        <w:rPr>
          <w:rFonts w:hint="eastAsia" w:ascii="CESI仿宋-GB2312" w:hAnsi="CESI仿宋-GB2312" w:eastAsia="CESI仿宋-GB2312" w:cs="CESI仿宋-GB2312"/>
          <w:sz w:val="32"/>
          <w:szCs w:val="32"/>
        </w:rPr>
        <w:t>列入失信被执行人和/</w:t>
      </w:r>
      <w:r>
        <w:rPr>
          <w:rFonts w:hint="eastAsia" w:ascii="CESI仿宋-GB2312" w:hAnsi="CESI仿宋-GB2312" w:eastAsia="CESI仿宋-GB2312" w:cs="CESI仿宋-GB2312"/>
          <w:sz w:val="32"/>
          <w:szCs w:val="32"/>
        </w:rPr>
        <w:fldChar w:fldCharType="end"/>
      </w:r>
      <w:r>
        <w:rPr>
          <w:rFonts w:hint="eastAsia" w:ascii="CESI仿宋-GB2312" w:hAnsi="CESI仿宋-GB2312" w:eastAsia="CESI仿宋-GB2312" w:cs="CESI仿宋-GB2312"/>
          <w:sz w:val="32"/>
          <w:szCs w:val="32"/>
        </w:rPr>
        <w:t>重大税收违法案件当事人名单；未被中国政府采购网列入政府采购严重违法失信行为记录名单中被财政部门禁止参加政府采购活动（处罚决定规定的时间和地域范围内），提供截图或承诺。</w:t>
      </w:r>
    </w:p>
    <w:p>
      <w:pPr>
        <w:pageBreakBefore w:val="0"/>
        <w:wordWrap/>
        <w:overflowPunct/>
        <w:topLinePunct w:val="0"/>
        <w:bidi w:val="0"/>
        <w:spacing w:line="576" w:lineRule="exac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7、单位负责人为同一人或者存在控股、管理关系的不同单位，不得同时参加本项目的投标（提供“投标人关联企业情况声明”或承诺）。</w:t>
      </w:r>
    </w:p>
    <w:p>
      <w:pPr>
        <w:pageBreakBefore w:val="0"/>
        <w:wordWrap/>
        <w:overflowPunct/>
        <w:topLinePunct w:val="0"/>
        <w:bidi w:val="0"/>
        <w:spacing w:line="576" w:lineRule="exac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8、为本项目提供整体设计、规范编制或者项目管理、监理、检测等服务的投标人，不得再参加本项目投标（提供书面声明或承诺）</w:t>
      </w:r>
    </w:p>
    <w:p>
      <w:pPr>
        <w:pageBreakBefore w:val="0"/>
        <w:wordWrap/>
        <w:overflowPunct/>
        <w:topLinePunct w:val="0"/>
        <w:bidi w:val="0"/>
        <w:spacing w:line="576" w:lineRule="exac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以上内容，格式自拟。</w:t>
      </w:r>
    </w:p>
    <w:p>
      <w:pPr>
        <w:pageBreakBefore w:val="0"/>
        <w:wordWrap/>
        <w:overflowPunct/>
        <w:topLinePunct w:val="0"/>
        <w:bidi w:val="0"/>
        <w:spacing w:line="576" w:lineRule="exact"/>
        <w:jc w:val="center"/>
        <w:rPr>
          <w:rFonts w:hint="eastAsia" w:ascii="CESI仿宋-GB2312" w:hAnsi="CESI仿宋-GB2312" w:eastAsia="CESI仿宋-GB2312" w:cs="CESI仿宋-GB2312"/>
          <w:sz w:val="28"/>
          <w:szCs w:val="28"/>
        </w:rPr>
      </w:pPr>
    </w:p>
    <w:bookmarkEnd w:id="135"/>
    <w:bookmarkEnd w:id="136"/>
    <w:bookmarkEnd w:id="137"/>
    <w:p>
      <w:pPr>
        <w:pageBreakBefore w:val="0"/>
        <w:wordWrap/>
        <w:overflowPunct/>
        <w:topLinePunct w:val="0"/>
        <w:bidi w:val="0"/>
        <w:spacing w:line="576" w:lineRule="exact"/>
        <w:rPr>
          <w:rFonts w:hint="eastAsia" w:ascii="CESI仿宋-GB2312" w:hAnsi="CESI仿宋-GB2312" w:eastAsia="CESI仿宋-GB2312" w:cs="CESI仿宋-GB2312"/>
          <w:sz w:val="28"/>
          <w:szCs w:val="28"/>
          <w:lang w:val="en-US" w:eastAsia="zh-CN"/>
        </w:rPr>
      </w:pPr>
      <w:bookmarkStart w:id="142" w:name="_Toc39520172"/>
      <w:bookmarkStart w:id="143" w:name="_Toc4439"/>
      <w:bookmarkStart w:id="144" w:name="_Toc20721"/>
      <w:bookmarkStart w:id="145" w:name="_Toc14860"/>
      <w:r>
        <w:rPr>
          <w:rFonts w:hint="eastAsia" w:ascii="CESI仿宋-GB2312" w:hAnsi="CESI仿宋-GB2312" w:eastAsia="CESI仿宋-GB2312" w:cs="CESI仿宋-GB2312"/>
          <w:sz w:val="28"/>
          <w:szCs w:val="28"/>
          <w:lang w:val="en-US" w:eastAsia="zh-CN"/>
        </w:rPr>
        <w:br w:type="page"/>
      </w:r>
    </w:p>
    <w:p>
      <w:pPr>
        <w:pStyle w:val="3"/>
        <w:pageBreakBefore w:val="0"/>
        <w:wordWrap/>
        <w:overflowPunct/>
        <w:topLinePunct w:val="0"/>
        <w:bidi w:val="0"/>
        <w:spacing w:line="576" w:lineRule="exact"/>
        <w:jc w:val="center"/>
        <w:rPr>
          <w:rFonts w:hint="eastAsia" w:ascii="Arial" w:hAnsi="Arial" w:eastAsia="黑体"/>
          <w:lang w:val="en-US" w:eastAsia="zh-CN"/>
        </w:rPr>
      </w:pPr>
      <w:r>
        <w:rPr>
          <w:rFonts w:hint="eastAsia" w:ascii="Arial" w:hAnsi="Arial" w:eastAsia="黑体"/>
          <w:lang w:val="en-US" w:eastAsia="zh-CN"/>
        </w:rPr>
        <w:t>六、</w:t>
      </w:r>
      <w:bookmarkEnd w:id="142"/>
      <w:r>
        <w:rPr>
          <w:rFonts w:hint="eastAsia" w:ascii="Arial" w:hAnsi="Arial" w:eastAsia="黑体"/>
          <w:lang w:val="en-US" w:eastAsia="zh-CN"/>
        </w:rPr>
        <w:t>政府采购政策文件</w:t>
      </w:r>
      <w:bookmarkEnd w:id="143"/>
      <w:bookmarkEnd w:id="144"/>
      <w:bookmarkEnd w:id="145"/>
    </w:p>
    <w:p>
      <w:pPr>
        <w:pageBreakBefore w:val="0"/>
        <w:wordWrap/>
        <w:overflowPunct/>
        <w:topLinePunct w:val="0"/>
        <w:bidi w:val="0"/>
        <w:spacing w:line="576" w:lineRule="exact"/>
        <w:jc w:val="center"/>
        <w:rPr>
          <w:rFonts w:hint="eastAsia" w:ascii="CESI仿宋-GB2312" w:hAnsi="CESI仿宋-GB2312" w:eastAsia="CESI仿宋-GB2312" w:cs="CESI仿宋-GB2312"/>
          <w:sz w:val="32"/>
          <w:szCs w:val="32"/>
          <w:lang w:eastAsia="zh-CN"/>
        </w:rPr>
      </w:pPr>
      <w:bookmarkStart w:id="146" w:name="_Toc527111487"/>
      <w:bookmarkStart w:id="147" w:name="_Toc341432599"/>
      <w:bookmarkStart w:id="148" w:name="_Toc2853524"/>
      <w:bookmarkStart w:id="149" w:name="_Toc326167562"/>
      <w:bookmarkStart w:id="150" w:name="_Toc15948"/>
      <w:r>
        <w:rPr>
          <w:rFonts w:hint="eastAsia" w:ascii="CESI仿宋-GB2312" w:hAnsi="CESI仿宋-GB2312" w:eastAsia="CESI仿宋-GB2312" w:cs="CESI仿宋-GB2312"/>
          <w:sz w:val="32"/>
          <w:szCs w:val="32"/>
        </w:rPr>
        <w:t>中小企业企业声明函</w:t>
      </w:r>
      <w:bookmarkEnd w:id="146"/>
      <w:bookmarkEnd w:id="147"/>
      <w:bookmarkEnd w:id="148"/>
      <w:bookmarkEnd w:id="149"/>
      <w:r>
        <w:rPr>
          <w:rFonts w:hint="eastAsia" w:ascii="CESI仿宋-GB2312" w:hAnsi="CESI仿宋-GB2312" w:eastAsia="CESI仿宋-GB2312" w:cs="CESI仿宋-GB2312"/>
          <w:sz w:val="32"/>
          <w:szCs w:val="32"/>
          <w:lang w:eastAsia="zh-CN"/>
        </w:rPr>
        <w:t>（货物）</w:t>
      </w:r>
      <w:bookmarkEnd w:id="150"/>
    </w:p>
    <w:p>
      <w:pPr>
        <w:pageBreakBefore w:val="0"/>
        <w:wordWrap/>
        <w:overflowPunct/>
        <w:topLinePunct w:val="0"/>
        <w:bidi w:val="0"/>
        <w:spacing w:line="576" w:lineRule="exac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w:t>
      </w:r>
    </w:p>
    <w:p>
      <w:pPr>
        <w:pStyle w:val="20"/>
        <w:pageBreakBefore w:val="0"/>
        <w:wordWrap/>
        <w:overflowPunct/>
        <w:topLinePunct w:val="0"/>
        <w:bidi w:val="0"/>
        <w:spacing w:line="576" w:lineRule="exact"/>
        <w:ind w:firstLine="480"/>
        <w:rPr>
          <w:rFonts w:hint="eastAsia" w:ascii="CESI仿宋-GB2312" w:hAnsi="CESI仿宋-GB2312" w:eastAsia="CESI仿宋-GB2312" w:cs="CESI仿宋-GB2312"/>
          <w:color w:val="000000"/>
          <w:sz w:val="32"/>
          <w:szCs w:val="32"/>
          <w:highlight w:val="none"/>
          <w:u w:val="none"/>
          <w:lang w:val="en-US" w:eastAsia="zh-CN"/>
        </w:rPr>
      </w:pPr>
      <w:r>
        <w:rPr>
          <w:rFonts w:hint="eastAsia" w:ascii="CESI仿宋-GB2312" w:hAnsi="CESI仿宋-GB2312" w:eastAsia="CESI仿宋-GB2312" w:cs="CESI仿宋-GB2312"/>
          <w:color w:val="000000"/>
          <w:sz w:val="32"/>
          <w:szCs w:val="32"/>
          <w:highlight w:val="none"/>
        </w:rPr>
        <w:t>本公司</w:t>
      </w:r>
      <w:r>
        <w:rPr>
          <w:rFonts w:hint="eastAsia" w:ascii="CESI仿宋-GB2312" w:hAnsi="CESI仿宋-GB2312" w:eastAsia="CESI仿宋-GB2312" w:cs="CESI仿宋-GB2312"/>
          <w:color w:val="000000"/>
          <w:sz w:val="32"/>
          <w:szCs w:val="32"/>
          <w:highlight w:val="none"/>
          <w:lang w:eastAsia="zh-CN"/>
        </w:rPr>
        <w:t>（联合体）</w:t>
      </w:r>
      <w:r>
        <w:rPr>
          <w:rFonts w:hint="eastAsia" w:ascii="CESI仿宋-GB2312" w:hAnsi="CESI仿宋-GB2312" w:eastAsia="CESI仿宋-GB2312" w:cs="CESI仿宋-GB2312"/>
          <w:color w:val="000000"/>
          <w:sz w:val="32"/>
          <w:szCs w:val="32"/>
          <w:highlight w:val="none"/>
        </w:rPr>
        <w:t>郑重声明，根据《政府采购促进中小企业发展办法》（财库[20</w:t>
      </w:r>
      <w:r>
        <w:rPr>
          <w:rFonts w:hint="eastAsia" w:ascii="CESI仿宋-GB2312" w:hAnsi="CESI仿宋-GB2312" w:eastAsia="CESI仿宋-GB2312" w:cs="CESI仿宋-GB2312"/>
          <w:color w:val="000000"/>
          <w:sz w:val="32"/>
          <w:szCs w:val="32"/>
          <w:highlight w:val="none"/>
          <w:lang w:val="en-US" w:eastAsia="zh-CN"/>
        </w:rPr>
        <w:t>20</w:t>
      </w:r>
      <w:r>
        <w:rPr>
          <w:rFonts w:hint="eastAsia" w:ascii="CESI仿宋-GB2312" w:hAnsi="CESI仿宋-GB2312" w:eastAsia="CESI仿宋-GB2312" w:cs="CESI仿宋-GB2312"/>
          <w:color w:val="000000"/>
          <w:sz w:val="32"/>
          <w:szCs w:val="32"/>
          <w:highlight w:val="none"/>
        </w:rPr>
        <w:t>]</w:t>
      </w:r>
      <w:r>
        <w:rPr>
          <w:rFonts w:hint="eastAsia" w:ascii="CESI仿宋-GB2312" w:hAnsi="CESI仿宋-GB2312" w:eastAsia="CESI仿宋-GB2312" w:cs="CESI仿宋-GB2312"/>
          <w:color w:val="000000"/>
          <w:sz w:val="32"/>
          <w:szCs w:val="32"/>
          <w:highlight w:val="none"/>
          <w:lang w:val="en-US" w:eastAsia="zh-CN"/>
        </w:rPr>
        <w:t>46</w:t>
      </w:r>
      <w:r>
        <w:rPr>
          <w:rFonts w:hint="eastAsia" w:ascii="CESI仿宋-GB2312" w:hAnsi="CESI仿宋-GB2312" w:eastAsia="CESI仿宋-GB2312" w:cs="CESI仿宋-GB2312"/>
          <w:color w:val="000000"/>
          <w:sz w:val="32"/>
          <w:szCs w:val="32"/>
          <w:highlight w:val="none"/>
        </w:rPr>
        <w:t>号）的规定，本公司</w:t>
      </w:r>
      <w:r>
        <w:rPr>
          <w:rFonts w:hint="eastAsia" w:ascii="CESI仿宋-GB2312" w:hAnsi="CESI仿宋-GB2312" w:eastAsia="CESI仿宋-GB2312" w:cs="CESI仿宋-GB2312"/>
          <w:color w:val="000000"/>
          <w:sz w:val="32"/>
          <w:szCs w:val="32"/>
          <w:highlight w:val="none"/>
          <w:lang w:eastAsia="zh-CN"/>
        </w:rPr>
        <w:t>（联合体）参加</w:t>
      </w:r>
      <w:r>
        <w:rPr>
          <w:rFonts w:hint="eastAsia" w:ascii="CESI仿宋-GB2312" w:hAnsi="CESI仿宋-GB2312" w:eastAsia="CESI仿宋-GB2312" w:cs="CESI仿宋-GB2312"/>
          <w:color w:val="000000"/>
          <w:sz w:val="32"/>
          <w:szCs w:val="32"/>
          <w:highlight w:val="none"/>
          <w:u w:val="single"/>
          <w:lang w:eastAsia="zh-CN"/>
        </w:rPr>
        <w:t>（单位名称）</w:t>
      </w:r>
      <w:r>
        <w:rPr>
          <w:rFonts w:hint="eastAsia" w:ascii="CESI仿宋-GB2312" w:hAnsi="CESI仿宋-GB2312" w:eastAsia="CESI仿宋-GB2312" w:cs="CESI仿宋-GB2312"/>
          <w:color w:val="000000"/>
          <w:sz w:val="32"/>
          <w:szCs w:val="32"/>
          <w:highlight w:val="none"/>
          <w:u w:val="none"/>
          <w:lang w:eastAsia="zh-CN"/>
        </w:rPr>
        <w:t>的</w:t>
      </w:r>
      <w:r>
        <w:rPr>
          <w:rFonts w:hint="eastAsia" w:ascii="CESI仿宋-GB2312" w:hAnsi="CESI仿宋-GB2312" w:eastAsia="CESI仿宋-GB2312" w:cs="CESI仿宋-GB2312"/>
          <w:color w:val="000000"/>
          <w:sz w:val="32"/>
          <w:szCs w:val="32"/>
          <w:highlight w:val="none"/>
          <w:u w:val="single"/>
          <w:lang w:eastAsia="zh-CN"/>
        </w:rPr>
        <w:t>（项目名称）</w:t>
      </w:r>
      <w:r>
        <w:rPr>
          <w:rFonts w:hint="eastAsia" w:ascii="CESI仿宋-GB2312" w:hAnsi="CESI仿宋-GB2312" w:eastAsia="CESI仿宋-GB2312" w:cs="CESI仿宋-GB2312"/>
          <w:color w:val="000000"/>
          <w:sz w:val="32"/>
          <w:szCs w:val="32"/>
          <w:highlight w:val="none"/>
          <w:u w:val="single"/>
          <w:lang w:val="en-US" w:eastAsia="zh-CN"/>
        </w:rPr>
        <w:t xml:space="preserve">        </w:t>
      </w:r>
    </w:p>
    <w:p>
      <w:pPr>
        <w:pStyle w:val="20"/>
        <w:pageBreakBefore w:val="0"/>
        <w:wordWrap/>
        <w:overflowPunct/>
        <w:topLinePunct w:val="0"/>
        <w:bidi w:val="0"/>
        <w:spacing w:line="576" w:lineRule="exact"/>
        <w:ind w:firstLine="480"/>
        <w:rPr>
          <w:rFonts w:hint="eastAsia" w:ascii="CESI仿宋-GB2312" w:hAnsi="CESI仿宋-GB2312" w:eastAsia="CESI仿宋-GB2312" w:cs="CESI仿宋-GB2312"/>
          <w:color w:val="000000"/>
          <w:sz w:val="32"/>
          <w:szCs w:val="32"/>
          <w:highlight w:val="none"/>
          <w:lang w:eastAsia="zh-CN"/>
        </w:rPr>
      </w:pPr>
      <w:r>
        <w:rPr>
          <w:rFonts w:hint="eastAsia" w:ascii="CESI仿宋-GB2312" w:hAnsi="CESI仿宋-GB2312" w:eastAsia="CESI仿宋-GB2312" w:cs="CESI仿宋-GB2312"/>
          <w:color w:val="000000"/>
          <w:sz w:val="32"/>
          <w:szCs w:val="32"/>
          <w:highlight w:val="none"/>
          <w:lang w:eastAsia="zh-CN"/>
        </w:rPr>
        <w:t>采购活动，提供的货物全部由符合政策要求的中小企业制造。相关企业（含联合体中的中小企业，签订分包意向协议中的中小企业）的具体情况如下：</w:t>
      </w:r>
    </w:p>
    <w:p>
      <w:pPr>
        <w:pStyle w:val="20"/>
        <w:pageBreakBefore w:val="0"/>
        <w:numPr>
          <w:ilvl w:val="0"/>
          <w:numId w:val="4"/>
        </w:numPr>
        <w:wordWrap/>
        <w:overflowPunct/>
        <w:topLinePunct w:val="0"/>
        <w:bidi w:val="0"/>
        <w:spacing w:line="576" w:lineRule="exact"/>
        <w:ind w:firstLine="480"/>
        <w:rPr>
          <w:rFonts w:hint="eastAsia" w:ascii="CESI仿宋-GB2312" w:hAnsi="CESI仿宋-GB2312" w:eastAsia="CESI仿宋-GB2312" w:cs="CESI仿宋-GB2312"/>
          <w:color w:val="000000"/>
          <w:sz w:val="32"/>
          <w:szCs w:val="32"/>
          <w:highlight w:val="none"/>
          <w:u w:val="single"/>
          <w:lang w:val="en-US" w:eastAsia="zh-CN"/>
        </w:rPr>
      </w:pPr>
      <w:r>
        <w:rPr>
          <w:rFonts w:hint="eastAsia" w:ascii="CESI仿宋-GB2312" w:hAnsi="CESI仿宋-GB2312" w:eastAsia="CESI仿宋-GB2312" w:cs="CESI仿宋-GB2312"/>
          <w:color w:val="000000"/>
          <w:sz w:val="32"/>
          <w:szCs w:val="32"/>
          <w:highlight w:val="none"/>
          <w:u w:val="single"/>
          <w:lang w:val="en-US" w:eastAsia="zh-CN"/>
        </w:rPr>
        <w:t xml:space="preserve"> （标的名称），属于（采购文件中明确的所属行业）行业；</w:t>
      </w:r>
      <w:r>
        <w:rPr>
          <w:rFonts w:hint="eastAsia" w:ascii="CESI仿宋-GB2312" w:hAnsi="CESI仿宋-GB2312" w:eastAsia="CESI仿宋-GB2312" w:cs="CESI仿宋-GB2312"/>
          <w:color w:val="000000"/>
          <w:sz w:val="32"/>
          <w:szCs w:val="32"/>
          <w:highlight w:val="none"/>
          <w:u w:val="none"/>
          <w:lang w:val="en-US" w:eastAsia="zh-CN"/>
        </w:rPr>
        <w:t>制造商为</w:t>
      </w:r>
      <w:r>
        <w:rPr>
          <w:rFonts w:hint="eastAsia" w:ascii="CESI仿宋-GB2312" w:hAnsi="CESI仿宋-GB2312" w:eastAsia="CESI仿宋-GB2312" w:cs="CESI仿宋-GB2312"/>
          <w:color w:val="000000"/>
          <w:sz w:val="32"/>
          <w:szCs w:val="32"/>
          <w:highlight w:val="none"/>
          <w:u w:val="single"/>
          <w:lang w:val="en-US" w:eastAsia="zh-CN"/>
        </w:rPr>
        <w:t>（企业名称），从业人员     人，营业收入为    万元，资产总额为   万元，属于（中型企业、小型企业、微型企业）；</w:t>
      </w:r>
    </w:p>
    <w:p>
      <w:pPr>
        <w:pStyle w:val="20"/>
        <w:pageBreakBefore w:val="0"/>
        <w:numPr>
          <w:ilvl w:val="0"/>
          <w:numId w:val="4"/>
        </w:numPr>
        <w:wordWrap/>
        <w:overflowPunct/>
        <w:topLinePunct w:val="0"/>
        <w:bidi w:val="0"/>
        <w:spacing w:line="576" w:lineRule="exact"/>
        <w:ind w:firstLine="480"/>
        <w:rPr>
          <w:rFonts w:hint="eastAsia" w:ascii="CESI仿宋-GB2312" w:hAnsi="CESI仿宋-GB2312" w:eastAsia="CESI仿宋-GB2312" w:cs="CESI仿宋-GB2312"/>
          <w:color w:val="000000"/>
          <w:sz w:val="32"/>
          <w:szCs w:val="32"/>
          <w:highlight w:val="none"/>
          <w:u w:val="single"/>
          <w:lang w:val="en-US" w:eastAsia="zh-CN"/>
        </w:rPr>
      </w:pPr>
      <w:r>
        <w:rPr>
          <w:rFonts w:hint="eastAsia" w:ascii="CESI仿宋-GB2312" w:hAnsi="CESI仿宋-GB2312" w:eastAsia="CESI仿宋-GB2312" w:cs="CESI仿宋-GB2312"/>
          <w:color w:val="000000"/>
          <w:sz w:val="32"/>
          <w:szCs w:val="32"/>
          <w:highlight w:val="none"/>
          <w:u w:val="single"/>
          <w:lang w:val="en-US" w:eastAsia="zh-CN"/>
        </w:rPr>
        <w:t>（标的名称）</w:t>
      </w:r>
      <w:r>
        <w:rPr>
          <w:rFonts w:hint="eastAsia" w:ascii="CESI仿宋-GB2312" w:hAnsi="CESI仿宋-GB2312" w:eastAsia="CESI仿宋-GB2312" w:cs="CESI仿宋-GB2312"/>
          <w:color w:val="000000"/>
          <w:sz w:val="32"/>
          <w:szCs w:val="32"/>
          <w:highlight w:val="none"/>
          <w:u w:val="none"/>
          <w:lang w:val="en-US" w:eastAsia="zh-CN"/>
        </w:rPr>
        <w:t>，属于</w:t>
      </w:r>
      <w:r>
        <w:rPr>
          <w:rFonts w:hint="eastAsia" w:ascii="CESI仿宋-GB2312" w:hAnsi="CESI仿宋-GB2312" w:eastAsia="CESI仿宋-GB2312" w:cs="CESI仿宋-GB2312"/>
          <w:color w:val="000000"/>
          <w:sz w:val="32"/>
          <w:szCs w:val="32"/>
          <w:highlight w:val="none"/>
          <w:u w:val="single"/>
          <w:lang w:val="en-US" w:eastAsia="zh-CN"/>
        </w:rPr>
        <w:t>（采购文件中明确的所属行业）行业</w:t>
      </w:r>
      <w:r>
        <w:rPr>
          <w:rFonts w:hint="eastAsia" w:ascii="CESI仿宋-GB2312" w:hAnsi="CESI仿宋-GB2312" w:eastAsia="CESI仿宋-GB2312" w:cs="CESI仿宋-GB2312"/>
          <w:color w:val="000000"/>
          <w:sz w:val="32"/>
          <w:szCs w:val="32"/>
          <w:highlight w:val="none"/>
          <w:u w:val="none"/>
          <w:lang w:val="en-US" w:eastAsia="zh-CN"/>
        </w:rPr>
        <w:t>；制造商为</w:t>
      </w:r>
      <w:r>
        <w:rPr>
          <w:rFonts w:hint="eastAsia" w:ascii="CESI仿宋-GB2312" w:hAnsi="CESI仿宋-GB2312" w:eastAsia="CESI仿宋-GB2312" w:cs="CESI仿宋-GB2312"/>
          <w:color w:val="000000"/>
          <w:sz w:val="32"/>
          <w:szCs w:val="32"/>
          <w:highlight w:val="none"/>
          <w:u w:val="single"/>
          <w:lang w:val="en-US" w:eastAsia="zh-CN"/>
        </w:rPr>
        <w:t>（企业名称）</w:t>
      </w:r>
      <w:r>
        <w:rPr>
          <w:rFonts w:hint="eastAsia" w:ascii="CESI仿宋-GB2312" w:hAnsi="CESI仿宋-GB2312" w:eastAsia="CESI仿宋-GB2312" w:cs="CESI仿宋-GB2312"/>
          <w:color w:val="000000"/>
          <w:sz w:val="32"/>
          <w:szCs w:val="32"/>
          <w:highlight w:val="none"/>
          <w:u w:val="none"/>
          <w:lang w:val="en-US" w:eastAsia="zh-CN"/>
        </w:rPr>
        <w:t>，从业人员</w:t>
      </w:r>
      <w:r>
        <w:rPr>
          <w:rFonts w:hint="eastAsia" w:ascii="CESI仿宋-GB2312" w:hAnsi="CESI仿宋-GB2312" w:eastAsia="CESI仿宋-GB2312" w:cs="CESI仿宋-GB2312"/>
          <w:color w:val="000000"/>
          <w:sz w:val="32"/>
          <w:szCs w:val="32"/>
          <w:highlight w:val="none"/>
          <w:u w:val="single"/>
          <w:lang w:val="en-US" w:eastAsia="zh-CN"/>
        </w:rPr>
        <w:t xml:space="preserve">   人</w:t>
      </w:r>
      <w:r>
        <w:rPr>
          <w:rFonts w:hint="eastAsia" w:ascii="CESI仿宋-GB2312" w:hAnsi="CESI仿宋-GB2312" w:eastAsia="CESI仿宋-GB2312" w:cs="CESI仿宋-GB2312"/>
          <w:color w:val="000000"/>
          <w:sz w:val="32"/>
          <w:szCs w:val="32"/>
          <w:highlight w:val="none"/>
          <w:u w:val="none"/>
          <w:lang w:val="en-US" w:eastAsia="zh-CN"/>
        </w:rPr>
        <w:t>，营业收入为</w:t>
      </w:r>
      <w:r>
        <w:rPr>
          <w:rFonts w:hint="eastAsia" w:ascii="CESI仿宋-GB2312" w:hAnsi="CESI仿宋-GB2312" w:eastAsia="CESI仿宋-GB2312" w:cs="CESI仿宋-GB2312"/>
          <w:color w:val="000000"/>
          <w:sz w:val="32"/>
          <w:szCs w:val="32"/>
          <w:highlight w:val="none"/>
          <w:u w:val="single"/>
          <w:lang w:val="en-US" w:eastAsia="zh-CN"/>
        </w:rPr>
        <w:t xml:space="preserve">   </w:t>
      </w:r>
      <w:r>
        <w:rPr>
          <w:rFonts w:hint="eastAsia" w:ascii="CESI仿宋-GB2312" w:hAnsi="CESI仿宋-GB2312" w:eastAsia="CESI仿宋-GB2312" w:cs="CESI仿宋-GB2312"/>
          <w:color w:val="000000"/>
          <w:sz w:val="32"/>
          <w:szCs w:val="32"/>
          <w:highlight w:val="none"/>
          <w:u w:val="none"/>
          <w:lang w:val="en-US" w:eastAsia="zh-CN"/>
        </w:rPr>
        <w:t>万元，资产总额为</w:t>
      </w:r>
      <w:r>
        <w:rPr>
          <w:rFonts w:hint="eastAsia" w:ascii="CESI仿宋-GB2312" w:hAnsi="CESI仿宋-GB2312" w:eastAsia="CESI仿宋-GB2312" w:cs="CESI仿宋-GB2312"/>
          <w:color w:val="000000"/>
          <w:sz w:val="32"/>
          <w:szCs w:val="32"/>
          <w:highlight w:val="none"/>
          <w:u w:val="single"/>
          <w:lang w:val="en-US" w:eastAsia="zh-CN"/>
        </w:rPr>
        <w:t xml:space="preserve">    </w:t>
      </w:r>
      <w:r>
        <w:rPr>
          <w:rFonts w:hint="eastAsia" w:ascii="CESI仿宋-GB2312" w:hAnsi="CESI仿宋-GB2312" w:eastAsia="CESI仿宋-GB2312" w:cs="CESI仿宋-GB2312"/>
          <w:color w:val="000000"/>
          <w:sz w:val="32"/>
          <w:szCs w:val="32"/>
          <w:highlight w:val="none"/>
          <w:u w:val="none"/>
          <w:lang w:val="en-US" w:eastAsia="zh-CN"/>
        </w:rPr>
        <w:t>万元，属于</w:t>
      </w:r>
      <w:r>
        <w:rPr>
          <w:rFonts w:hint="eastAsia" w:ascii="CESI仿宋-GB2312" w:hAnsi="CESI仿宋-GB2312" w:eastAsia="CESI仿宋-GB2312" w:cs="CESI仿宋-GB2312"/>
          <w:color w:val="000000"/>
          <w:sz w:val="32"/>
          <w:szCs w:val="32"/>
          <w:highlight w:val="none"/>
          <w:u w:val="single"/>
          <w:lang w:val="en-US" w:eastAsia="zh-CN"/>
        </w:rPr>
        <w:t>（中型企业、小型企业、微型企业）；</w:t>
      </w:r>
    </w:p>
    <w:p>
      <w:pPr>
        <w:pStyle w:val="20"/>
        <w:pageBreakBefore w:val="0"/>
        <w:numPr>
          <w:ilvl w:val="0"/>
          <w:numId w:val="0"/>
        </w:numPr>
        <w:wordWrap/>
        <w:overflowPunct/>
        <w:topLinePunct w:val="0"/>
        <w:bidi w:val="0"/>
        <w:spacing w:line="576" w:lineRule="exact"/>
        <w:ind w:firstLine="640" w:firstLineChars="200"/>
        <w:rPr>
          <w:rFonts w:hint="eastAsia" w:ascii="CESI仿宋-GB2312" w:hAnsi="CESI仿宋-GB2312" w:eastAsia="CESI仿宋-GB2312" w:cs="CESI仿宋-GB2312"/>
          <w:color w:val="000000"/>
          <w:sz w:val="32"/>
          <w:szCs w:val="32"/>
          <w:highlight w:val="none"/>
          <w:u w:val="none"/>
          <w:lang w:val="en-US" w:eastAsia="zh-CN"/>
        </w:rPr>
      </w:pPr>
      <w:r>
        <w:rPr>
          <w:rFonts w:hint="eastAsia" w:ascii="CESI仿宋-GB2312" w:hAnsi="CESI仿宋-GB2312" w:eastAsia="CESI仿宋-GB2312" w:cs="CESI仿宋-GB2312"/>
          <w:color w:val="000000"/>
          <w:sz w:val="32"/>
          <w:szCs w:val="32"/>
          <w:highlight w:val="none"/>
          <w:u w:val="none"/>
          <w:lang w:val="en-US" w:eastAsia="zh-CN"/>
        </w:rPr>
        <w:t>以上企业，不属于大企业的分支机构，不存在控股股东为大企业的情形，也不存在与大企业的负责人为同一人的情形。</w:t>
      </w:r>
    </w:p>
    <w:p>
      <w:pPr>
        <w:pStyle w:val="20"/>
        <w:pageBreakBefore w:val="0"/>
        <w:numPr>
          <w:ilvl w:val="0"/>
          <w:numId w:val="0"/>
        </w:numPr>
        <w:wordWrap/>
        <w:overflowPunct/>
        <w:topLinePunct w:val="0"/>
        <w:bidi w:val="0"/>
        <w:spacing w:line="576" w:lineRule="exact"/>
        <w:rPr>
          <w:rFonts w:hint="eastAsia" w:ascii="CESI仿宋-GB2312" w:hAnsi="CESI仿宋-GB2312" w:eastAsia="CESI仿宋-GB2312" w:cs="CESI仿宋-GB2312"/>
          <w:color w:val="000000"/>
          <w:sz w:val="32"/>
          <w:szCs w:val="32"/>
          <w:highlight w:val="none"/>
          <w:u w:val="none"/>
          <w:lang w:val="en-US" w:eastAsia="zh-CN"/>
        </w:rPr>
      </w:pPr>
      <w:r>
        <w:rPr>
          <w:rFonts w:hint="eastAsia" w:ascii="CESI仿宋-GB2312" w:hAnsi="CESI仿宋-GB2312" w:eastAsia="CESI仿宋-GB2312" w:cs="CESI仿宋-GB2312"/>
          <w:color w:val="000000"/>
          <w:sz w:val="32"/>
          <w:szCs w:val="32"/>
          <w:highlight w:val="none"/>
          <w:u w:val="none"/>
          <w:lang w:val="en-US" w:eastAsia="zh-CN"/>
        </w:rPr>
        <w:t>本企业对上述声明内容的真实性负责。如有虚假，将依法承担相应责任。</w:t>
      </w:r>
    </w:p>
    <w:p>
      <w:pPr>
        <w:pStyle w:val="20"/>
        <w:pageBreakBefore w:val="0"/>
        <w:wordWrap/>
        <w:overflowPunct/>
        <w:topLinePunct w:val="0"/>
        <w:bidi w:val="0"/>
        <w:spacing w:line="576" w:lineRule="exact"/>
        <w:ind w:firstLine="480"/>
        <w:rPr>
          <w:rFonts w:hint="eastAsia" w:ascii="CESI仿宋-GB2312" w:hAnsi="CESI仿宋-GB2312" w:eastAsia="CESI仿宋-GB2312" w:cs="CESI仿宋-GB2312"/>
          <w:color w:val="000000"/>
          <w:sz w:val="32"/>
          <w:szCs w:val="32"/>
          <w:highlight w:val="none"/>
          <w:lang w:eastAsia="zh-CN"/>
        </w:rPr>
      </w:pPr>
    </w:p>
    <w:p>
      <w:pPr>
        <w:pStyle w:val="20"/>
        <w:pageBreakBefore w:val="0"/>
        <w:wordWrap/>
        <w:overflowPunct/>
        <w:topLinePunct w:val="0"/>
        <w:bidi w:val="0"/>
        <w:spacing w:line="576" w:lineRule="exact"/>
        <w:ind w:right="840" w:firstLine="5520"/>
        <w:rPr>
          <w:rFonts w:hint="eastAsia" w:ascii="CESI仿宋-GB2312" w:hAnsi="CESI仿宋-GB2312" w:eastAsia="CESI仿宋-GB2312" w:cs="CESI仿宋-GB2312"/>
          <w:color w:val="000000"/>
          <w:sz w:val="32"/>
          <w:szCs w:val="32"/>
          <w:highlight w:val="none"/>
        </w:rPr>
      </w:pPr>
      <w:r>
        <w:rPr>
          <w:rFonts w:hint="eastAsia" w:ascii="CESI仿宋-GB2312" w:hAnsi="CESI仿宋-GB2312" w:eastAsia="CESI仿宋-GB2312" w:cs="CESI仿宋-GB2312"/>
          <w:color w:val="000000"/>
          <w:sz w:val="32"/>
          <w:szCs w:val="32"/>
          <w:highlight w:val="none"/>
        </w:rPr>
        <w:t>企业名称（盖章）：</w:t>
      </w:r>
    </w:p>
    <w:p>
      <w:pPr>
        <w:pStyle w:val="20"/>
        <w:pageBreakBefore w:val="0"/>
        <w:wordWrap/>
        <w:overflowPunct/>
        <w:topLinePunct w:val="0"/>
        <w:bidi w:val="0"/>
        <w:spacing w:line="576" w:lineRule="exact"/>
        <w:ind w:firstLine="5520"/>
        <w:rPr>
          <w:rFonts w:hint="eastAsia" w:ascii="CESI仿宋-GB2312" w:hAnsi="CESI仿宋-GB2312" w:eastAsia="CESI仿宋-GB2312" w:cs="CESI仿宋-GB2312"/>
          <w:color w:val="000000"/>
          <w:sz w:val="32"/>
          <w:szCs w:val="32"/>
          <w:highlight w:val="none"/>
        </w:rPr>
      </w:pPr>
      <w:r>
        <w:rPr>
          <w:rFonts w:hint="eastAsia" w:ascii="CESI仿宋-GB2312" w:hAnsi="CESI仿宋-GB2312" w:eastAsia="CESI仿宋-GB2312" w:cs="CESI仿宋-GB2312"/>
          <w:color w:val="000000"/>
          <w:sz w:val="32"/>
          <w:szCs w:val="32"/>
          <w:highlight w:val="none"/>
        </w:rPr>
        <w:t>日           期：</w:t>
      </w:r>
    </w:p>
    <w:bookmarkEnd w:id="138"/>
    <w:bookmarkEnd w:id="139"/>
    <w:bookmarkEnd w:id="140"/>
    <w:bookmarkEnd w:id="141"/>
    <w:p>
      <w:pPr>
        <w:pageBreakBefore w:val="0"/>
        <w:wordWrap/>
        <w:overflowPunct/>
        <w:topLinePunct w:val="0"/>
        <w:bidi w:val="0"/>
        <w:spacing w:line="576" w:lineRule="exact"/>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br w:type="page"/>
      </w:r>
    </w:p>
    <w:p>
      <w:pPr>
        <w:pageBreakBefore w:val="0"/>
        <w:wordWrap/>
        <w:overflowPunct/>
        <w:topLinePunct w:val="0"/>
        <w:bidi w:val="0"/>
        <w:spacing w:line="576" w:lineRule="exact"/>
        <w:ind w:firstLine="0" w:firstLineChars="0"/>
        <w:jc w:val="center"/>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监狱企业证明文件</w:t>
      </w:r>
    </w:p>
    <w:p>
      <w:pPr>
        <w:pageBreakBefore w:val="0"/>
        <w:widowControl/>
        <w:wordWrap/>
        <w:overflowPunct/>
        <w:topLinePunct w:val="0"/>
        <w:bidi w:val="0"/>
        <w:spacing w:line="576" w:lineRule="exact"/>
        <w:ind w:firstLine="480"/>
        <w:jc w:val="left"/>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监狱企业参加政府采购活动时，应当提供由省级以上监狱管理局、戒毒管理局(含新疆生产建设兵团)出具的属于监狱企业的证明文件。</w:t>
      </w:r>
    </w:p>
    <w:p>
      <w:pPr>
        <w:pageBreakBefore w:val="0"/>
        <w:widowControl/>
        <w:wordWrap/>
        <w:overflowPunct/>
        <w:topLinePunct w:val="0"/>
        <w:bidi w:val="0"/>
        <w:spacing w:line="576" w:lineRule="exact"/>
        <w:ind w:firstLine="480"/>
        <w:jc w:val="left"/>
        <w:rPr>
          <w:rFonts w:hint="eastAsia" w:ascii="CESI仿宋-GB2312" w:hAnsi="CESI仿宋-GB2312" w:eastAsia="CESI仿宋-GB2312" w:cs="CESI仿宋-GB2312"/>
          <w:bCs/>
          <w:color w:val="000000"/>
          <w:sz w:val="32"/>
          <w:szCs w:val="32"/>
          <w:highlight w:val="none"/>
        </w:rPr>
      </w:pPr>
    </w:p>
    <w:p>
      <w:pPr>
        <w:pageBreakBefore w:val="0"/>
        <w:widowControl/>
        <w:wordWrap/>
        <w:overflowPunct/>
        <w:topLinePunct w:val="0"/>
        <w:bidi w:val="0"/>
        <w:spacing w:line="576" w:lineRule="exact"/>
        <w:ind w:firstLine="480"/>
        <w:jc w:val="left"/>
        <w:rPr>
          <w:rFonts w:hint="eastAsia" w:ascii="CESI仿宋-GB2312" w:hAnsi="CESI仿宋-GB2312" w:eastAsia="CESI仿宋-GB2312" w:cs="CESI仿宋-GB2312"/>
          <w:bCs/>
          <w:color w:val="000000"/>
          <w:sz w:val="32"/>
          <w:szCs w:val="32"/>
          <w:highlight w:val="none"/>
        </w:rPr>
      </w:pPr>
    </w:p>
    <w:p>
      <w:pPr>
        <w:pageBreakBefore w:val="0"/>
        <w:wordWrap/>
        <w:overflowPunct/>
        <w:topLinePunct w:val="0"/>
        <w:bidi w:val="0"/>
        <w:spacing w:line="576" w:lineRule="exact"/>
        <w:ind w:firstLine="480"/>
        <w:jc w:val="center"/>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《残疾人福利性单位声明函》</w:t>
      </w:r>
    </w:p>
    <w:p>
      <w:pPr>
        <w:pageBreakBefore w:val="0"/>
        <w:widowControl/>
        <w:wordWrap/>
        <w:overflowPunct/>
        <w:topLinePunct w:val="0"/>
        <w:bidi w:val="0"/>
        <w:spacing w:line="576" w:lineRule="exact"/>
        <w:ind w:firstLine="480"/>
        <w:jc w:val="left"/>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符合条件的残疾人福利性单位在参加政府采购活动时，应当提供《残疾人福利性单位声明函》，并对声明的真实性负责。</w:t>
      </w:r>
    </w:p>
    <w:p>
      <w:pPr>
        <w:pageBreakBefore w:val="0"/>
        <w:widowControl/>
        <w:wordWrap/>
        <w:overflowPunct/>
        <w:topLinePunct w:val="0"/>
        <w:bidi w:val="0"/>
        <w:spacing w:line="576" w:lineRule="exact"/>
        <w:ind w:firstLine="480"/>
        <w:jc w:val="left"/>
        <w:rPr>
          <w:rFonts w:hint="eastAsia" w:ascii="CESI仿宋-GB2312" w:hAnsi="CESI仿宋-GB2312" w:eastAsia="CESI仿宋-GB2312" w:cs="CESI仿宋-GB2312"/>
          <w:bCs/>
          <w:color w:val="000000"/>
          <w:sz w:val="32"/>
          <w:szCs w:val="32"/>
          <w:highlight w:val="none"/>
        </w:rPr>
      </w:pPr>
    </w:p>
    <w:p>
      <w:pPr>
        <w:pageBreakBefore w:val="0"/>
        <w:widowControl/>
        <w:wordWrap/>
        <w:overflowPunct/>
        <w:topLinePunct w:val="0"/>
        <w:bidi w:val="0"/>
        <w:spacing w:line="576" w:lineRule="exact"/>
        <w:ind w:firstLine="480"/>
        <w:jc w:val="left"/>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单位的</w:t>
      </w:r>
      <w:r>
        <w:rPr>
          <w:rFonts w:hint="eastAsia" w:ascii="CESI仿宋-GB2312" w:hAnsi="CESI仿宋-GB2312" w:eastAsia="CESI仿宋-GB2312" w:cs="CESI仿宋-GB2312"/>
          <w:bCs/>
          <w:color w:val="000000"/>
          <w:sz w:val="32"/>
          <w:szCs w:val="32"/>
          <w:highlight w:val="none"/>
          <w:u w:val="single"/>
        </w:rPr>
        <w:t xml:space="preserve">       </w:t>
      </w:r>
      <w:r>
        <w:rPr>
          <w:rFonts w:hint="eastAsia" w:ascii="CESI仿宋-GB2312" w:hAnsi="CESI仿宋-GB2312" w:eastAsia="CESI仿宋-GB2312" w:cs="CESI仿宋-GB2312"/>
          <w:bCs/>
          <w:color w:val="000000"/>
          <w:sz w:val="32"/>
          <w:szCs w:val="32"/>
          <w:highlight w:val="none"/>
        </w:rPr>
        <w:t>项目采购活动提供本单位制造的货物（由本单位承担），或者提供其他残疾人福利性单位制造的货物（不包括使用非残疾人福利性单位注册商标的货物）。</w:t>
      </w:r>
    </w:p>
    <w:p>
      <w:pPr>
        <w:pageBreakBefore w:val="0"/>
        <w:widowControl/>
        <w:wordWrap/>
        <w:overflowPunct/>
        <w:topLinePunct w:val="0"/>
        <w:bidi w:val="0"/>
        <w:spacing w:line="576" w:lineRule="exact"/>
        <w:ind w:firstLine="480"/>
        <w:jc w:val="left"/>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本单位对上述声明的真实性负责。如有虚假，将依法承担相应责任。</w:t>
      </w:r>
    </w:p>
    <w:p>
      <w:pPr>
        <w:pageBreakBefore w:val="0"/>
        <w:widowControl/>
        <w:wordWrap/>
        <w:overflowPunct/>
        <w:topLinePunct w:val="0"/>
        <w:bidi w:val="0"/>
        <w:spacing w:line="576" w:lineRule="exact"/>
        <w:ind w:firstLine="480"/>
        <w:jc w:val="left"/>
        <w:rPr>
          <w:rFonts w:hint="eastAsia" w:ascii="CESI仿宋-GB2312" w:hAnsi="CESI仿宋-GB2312" w:eastAsia="CESI仿宋-GB2312" w:cs="CESI仿宋-GB2312"/>
          <w:bCs/>
          <w:color w:val="000000"/>
          <w:sz w:val="32"/>
          <w:szCs w:val="32"/>
          <w:highlight w:val="none"/>
        </w:rPr>
      </w:pPr>
    </w:p>
    <w:p>
      <w:pPr>
        <w:pageBreakBefore w:val="0"/>
        <w:widowControl/>
        <w:wordWrap/>
        <w:overflowPunct/>
        <w:topLinePunct w:val="0"/>
        <w:bidi w:val="0"/>
        <w:spacing w:line="576" w:lineRule="exact"/>
        <w:ind w:firstLine="480"/>
        <w:jc w:val="left"/>
        <w:rPr>
          <w:rFonts w:hint="eastAsia" w:ascii="CESI仿宋-GB2312" w:hAnsi="CESI仿宋-GB2312" w:eastAsia="CESI仿宋-GB2312" w:cs="CESI仿宋-GB2312"/>
          <w:bCs/>
          <w:color w:val="000000"/>
          <w:sz w:val="32"/>
          <w:szCs w:val="32"/>
          <w:highlight w:val="none"/>
        </w:rPr>
      </w:pPr>
      <w:r>
        <w:rPr>
          <w:rFonts w:hint="eastAsia" w:ascii="CESI仿宋-GB2312" w:hAnsi="CESI仿宋-GB2312" w:eastAsia="CESI仿宋-GB2312" w:cs="CESI仿宋-GB2312"/>
          <w:bCs/>
          <w:color w:val="000000"/>
          <w:sz w:val="32"/>
          <w:szCs w:val="32"/>
          <w:highlight w:val="none"/>
        </w:rPr>
        <w:t>单位名称（盖章）：</w:t>
      </w:r>
    </w:p>
    <w:p>
      <w:pPr>
        <w:pageBreakBefore w:val="0"/>
        <w:wordWrap/>
        <w:overflowPunct/>
        <w:topLinePunct w:val="0"/>
        <w:bidi w:val="0"/>
        <w:spacing w:line="576" w:lineRule="exact"/>
        <w:rPr>
          <w:rFonts w:hint="eastAsia" w:ascii="CESI仿宋-GB2312" w:hAnsi="CESI仿宋-GB2312" w:eastAsia="CESI仿宋-GB2312" w:cs="CESI仿宋-GB2312"/>
          <w:color w:val="000000"/>
          <w:sz w:val="28"/>
          <w:szCs w:val="28"/>
          <w:highlight w:val="none"/>
          <w:lang w:val="en-US" w:eastAsia="zh-CN"/>
        </w:rPr>
      </w:pPr>
      <w:bookmarkStart w:id="151" w:name="_Toc15598"/>
      <w:bookmarkStart w:id="152" w:name="_Toc17945"/>
      <w:bookmarkStart w:id="153" w:name="_Toc2779"/>
      <w:r>
        <w:rPr>
          <w:rFonts w:hint="eastAsia" w:ascii="CESI仿宋-GB2312" w:hAnsi="CESI仿宋-GB2312" w:eastAsia="CESI仿宋-GB2312" w:cs="CESI仿宋-GB2312"/>
          <w:color w:val="000000"/>
          <w:sz w:val="28"/>
          <w:szCs w:val="28"/>
          <w:highlight w:val="none"/>
          <w:lang w:val="en-US" w:eastAsia="zh-CN"/>
        </w:rPr>
        <w:br w:type="page"/>
      </w:r>
    </w:p>
    <w:p>
      <w:pPr>
        <w:pStyle w:val="3"/>
        <w:pageBreakBefore w:val="0"/>
        <w:wordWrap/>
        <w:overflowPunct/>
        <w:topLinePunct w:val="0"/>
        <w:bidi w:val="0"/>
        <w:spacing w:line="576" w:lineRule="exact"/>
        <w:jc w:val="center"/>
        <w:rPr>
          <w:rFonts w:hint="eastAsia" w:ascii="Arial" w:hAnsi="Arial" w:eastAsia="黑体"/>
          <w:lang w:val="en-US" w:eastAsia="zh-CN"/>
        </w:rPr>
      </w:pPr>
      <w:r>
        <w:rPr>
          <w:rFonts w:hint="eastAsia" w:ascii="Arial" w:hAnsi="Arial" w:eastAsia="黑体"/>
          <w:lang w:val="en-US" w:eastAsia="zh-CN"/>
        </w:rPr>
        <w:t>七、其他材料</w:t>
      </w:r>
      <w:bookmarkEnd w:id="151"/>
      <w:bookmarkEnd w:id="152"/>
      <w:bookmarkEnd w:id="153"/>
    </w:p>
    <w:p>
      <w:pPr>
        <w:pStyle w:val="4"/>
        <w:pageBreakBefore w:val="0"/>
        <w:wordWrap/>
        <w:overflowPunct/>
        <w:topLinePunct w:val="0"/>
        <w:bidi w:val="0"/>
        <w:spacing w:after="0" w:line="576" w:lineRule="exact"/>
        <w:ind w:firstLine="420"/>
        <w:rPr>
          <w:rFonts w:hint="eastAsia" w:ascii="CESI仿宋-GB2312" w:hAnsi="CESI仿宋-GB2312" w:eastAsia="CESI仿宋-GB2312" w:cs="CESI仿宋-GB2312"/>
          <w:bCs/>
          <w:color w:val="000000"/>
          <w:sz w:val="28"/>
          <w:szCs w:val="28"/>
          <w:highlight w:val="none"/>
        </w:rPr>
      </w:pPr>
    </w:p>
    <w:p>
      <w:pPr>
        <w:pStyle w:val="10"/>
        <w:pageBreakBefore w:val="0"/>
        <w:wordWrap/>
        <w:overflowPunct/>
        <w:topLinePunct w:val="0"/>
        <w:bidi w:val="0"/>
        <w:spacing w:line="576" w:lineRule="exact"/>
        <w:jc w:val="center"/>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格式自拟</w:t>
      </w:r>
    </w:p>
    <w:p>
      <w:pPr>
        <w:pageBreakBefore w:val="0"/>
        <w:wordWrap/>
        <w:overflowPunct/>
        <w:topLinePunct w:val="0"/>
        <w:bidi w:val="0"/>
        <w:spacing w:line="576" w:lineRule="exact"/>
        <w:ind w:firstLine="640"/>
        <w:rPr>
          <w:rFonts w:hint="eastAsia" w:ascii="CESI仿宋-GB2312" w:hAnsi="CESI仿宋-GB2312" w:eastAsia="CESI仿宋-GB2312" w:cs="CESI仿宋-GB2312"/>
          <w:bCs/>
          <w:color w:val="000000"/>
          <w:sz w:val="32"/>
          <w:szCs w:val="32"/>
          <w:highlight w:val="none"/>
        </w:rPr>
      </w:pPr>
    </w:p>
    <w:p>
      <w:pPr>
        <w:pStyle w:val="4"/>
        <w:pageBreakBefore w:val="0"/>
        <w:wordWrap/>
        <w:overflowPunct/>
        <w:topLinePunct w:val="0"/>
        <w:bidi w:val="0"/>
        <w:spacing w:after="0" w:line="576" w:lineRule="exact"/>
        <w:ind w:firstLine="42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640"/>
        <w:rPr>
          <w:rFonts w:hint="eastAsia" w:ascii="CESI仿宋-GB2312" w:hAnsi="CESI仿宋-GB2312" w:eastAsia="CESI仿宋-GB2312" w:cs="CESI仿宋-GB2312"/>
          <w:bCs/>
          <w:color w:val="000000"/>
          <w:sz w:val="28"/>
          <w:szCs w:val="28"/>
          <w:highlight w:val="none"/>
        </w:rPr>
      </w:pPr>
    </w:p>
    <w:p>
      <w:pPr>
        <w:pStyle w:val="4"/>
        <w:pageBreakBefore w:val="0"/>
        <w:wordWrap/>
        <w:overflowPunct/>
        <w:topLinePunct w:val="0"/>
        <w:bidi w:val="0"/>
        <w:spacing w:after="0" w:line="576" w:lineRule="exact"/>
        <w:ind w:firstLine="42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64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64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64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ind w:firstLine="640"/>
        <w:rPr>
          <w:rFonts w:hint="eastAsia" w:ascii="CESI仿宋-GB2312" w:hAnsi="CESI仿宋-GB2312" w:eastAsia="CESI仿宋-GB2312" w:cs="CESI仿宋-GB2312"/>
          <w:bCs/>
          <w:color w:val="000000"/>
          <w:sz w:val="28"/>
          <w:szCs w:val="28"/>
          <w:highlight w:val="none"/>
        </w:rPr>
      </w:pPr>
    </w:p>
    <w:p>
      <w:pPr>
        <w:pStyle w:val="4"/>
        <w:pageBreakBefore w:val="0"/>
        <w:wordWrap/>
        <w:overflowPunct/>
        <w:topLinePunct w:val="0"/>
        <w:bidi w:val="0"/>
        <w:spacing w:after="0" w:line="576" w:lineRule="exact"/>
        <w:ind w:firstLine="420"/>
        <w:rPr>
          <w:rFonts w:hint="eastAsia" w:ascii="CESI仿宋-GB2312" w:hAnsi="CESI仿宋-GB2312" w:eastAsia="CESI仿宋-GB2312" w:cs="CESI仿宋-GB2312"/>
          <w:bCs/>
          <w:color w:val="000000"/>
          <w:sz w:val="28"/>
          <w:szCs w:val="28"/>
          <w:highlight w:val="none"/>
        </w:rPr>
      </w:pPr>
    </w:p>
    <w:p>
      <w:pPr>
        <w:pageBreakBefore w:val="0"/>
        <w:wordWrap/>
        <w:overflowPunct/>
        <w:topLinePunct w:val="0"/>
        <w:bidi w:val="0"/>
        <w:spacing w:line="576" w:lineRule="exact"/>
        <w:rPr>
          <w:rFonts w:hint="eastAsia" w:ascii="CESI仿宋-GB2312" w:hAnsi="CESI仿宋-GB2312" w:eastAsia="CESI仿宋-GB2312" w:cs="CESI仿宋-GB2312"/>
          <w:sz w:val="28"/>
          <w:szCs w:val="28"/>
          <w:lang w:val="en-US" w:eastAsia="zh-CN"/>
        </w:rPr>
      </w:pPr>
    </w:p>
    <w:sectPr>
      <w:footerReference r:id="rId6" w:type="default"/>
      <w:pgSz w:w="11906" w:h="16838"/>
      <w:pgMar w:top="1440" w:right="1797" w:bottom="1797" w:left="1440" w:header="851" w:footer="992" w:gutter="0"/>
      <w:pgBorders>
        <w:top w:val="none" w:sz="0" w:space="0"/>
        <w:left w:val="none" w:sz="0" w:space="0"/>
        <w:bottom w:val="none" w:sz="0" w:space="0"/>
        <w:right w:val="none" w:sz="0" w:space="0"/>
      </w:pgBorders>
      <w:pgNumType w:fmt="decimal"/>
      <w:cols w:space="425"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方正小标宋_GBK">
    <w:panose1 w:val="02000000000000000000"/>
    <w:charset w:val="86"/>
    <w:family w:val="auto"/>
    <w:pitch w:val="default"/>
    <w:sig w:usb0="00000001" w:usb1="08000000" w:usb2="00000000" w:usb3="00000000" w:csb0="00040000" w:csb1="00000000"/>
  </w:font>
  <w:font w:name="Wide Latin">
    <w:altName w:val="Noto Nastaliq Urdu"/>
    <w:panose1 w:val="020A0A07050505020404"/>
    <w:charset w:val="00"/>
    <w:family w:val="roman"/>
    <w:pitch w:val="default"/>
    <w:sig w:usb0="00000000" w:usb1="00000000" w:usb2="00000000" w:usb3="00000000" w:csb0="20000001" w:csb1="00000000"/>
  </w:font>
  <w:font w:name="仿宋">
    <w:altName w:val="方正仿宋_GBK"/>
    <w:panose1 w:val="02010609060101010101"/>
    <w:charset w:val="86"/>
    <w:family w:val="auto"/>
    <w:pitch w:val="default"/>
    <w:sig w:usb0="00000000" w:usb1="00000000" w:usb2="00000016" w:usb3="00000000" w:csb0="00040001" w:csb1="00000000"/>
  </w:font>
  <w:font w:name="等线">
    <w:altName w:val="汉仪中宋简"/>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Noto Nastaliq Urdu">
    <w:panose1 w:val="020B0802040504020204"/>
    <w:charset w:val="00"/>
    <w:family w:val="auto"/>
    <w:pitch w:val="default"/>
    <w:sig w:usb0="80002003" w:usb1="80002040" w:usb2="00000000" w:usb3="00000000" w:csb0="00000041"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3" w:line="233" w:lineRule="auto"/>
      <w:ind w:left="3820"/>
      <w:rPr>
        <w:rFonts w:ascii="宋体" w:hAnsi="宋体" w:eastAsia="宋体" w:cs="宋体"/>
        <w:sz w:val="16"/>
        <w:szCs w:val="16"/>
      </w:rPr>
    </w:pPr>
    <w:r>
      <w:rPr>
        <w:sz w:val="16"/>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7" w:lineRule="auto"/>
      <w:ind w:left="3746"/>
      <w:rPr>
        <w:rFonts w:ascii="仿宋" w:hAnsi="仿宋" w:eastAsia="仿宋" w:cs="仿宋"/>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B212C1"/>
    <w:multiLevelType w:val="singleLevel"/>
    <w:tmpl w:val="F7B212C1"/>
    <w:lvl w:ilvl="0" w:tentative="0">
      <w:start w:val="2"/>
      <w:numFmt w:val="chineseCounting"/>
      <w:suff w:val="nothing"/>
      <w:lvlText w:val="%1、"/>
      <w:lvlJc w:val="left"/>
      <w:rPr>
        <w:rFonts w:hint="eastAsia"/>
      </w:rPr>
    </w:lvl>
  </w:abstractNum>
  <w:abstractNum w:abstractNumId="1">
    <w:nsid w:val="30AB59ED"/>
    <w:multiLevelType w:val="singleLevel"/>
    <w:tmpl w:val="30AB59ED"/>
    <w:lvl w:ilvl="0" w:tentative="0">
      <w:start w:val="1"/>
      <w:numFmt w:val="decimal"/>
      <w:suff w:val="nothing"/>
      <w:lvlText w:val="%1、"/>
      <w:lvlJc w:val="left"/>
    </w:lvl>
  </w:abstractNum>
  <w:abstractNum w:abstractNumId="2">
    <w:nsid w:val="3FADB020"/>
    <w:multiLevelType w:val="singleLevel"/>
    <w:tmpl w:val="3FADB020"/>
    <w:lvl w:ilvl="0" w:tentative="0">
      <w:start w:val="5"/>
      <w:numFmt w:val="chineseCounting"/>
      <w:suff w:val="nothing"/>
      <w:lvlText w:val="（%1）"/>
      <w:lvlJc w:val="left"/>
      <w:rPr>
        <w:rFonts w:hint="eastAsia"/>
      </w:rPr>
    </w:lvl>
  </w:abstractNum>
  <w:abstractNum w:abstractNumId="3">
    <w:nsid w:val="4EE9B7D1"/>
    <w:multiLevelType w:val="singleLevel"/>
    <w:tmpl w:val="4EE9B7D1"/>
    <w:lvl w:ilvl="0" w:tentative="0">
      <w:start w:val="1"/>
      <w:numFmt w:val="decimal"/>
      <w:suff w:val="space"/>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646D8A"/>
    <w:rsid w:val="0FFAC854"/>
    <w:rsid w:val="10AC0666"/>
    <w:rsid w:val="166F052F"/>
    <w:rsid w:val="1F5F1940"/>
    <w:rsid w:val="2B696882"/>
    <w:rsid w:val="2D250397"/>
    <w:rsid w:val="2E7FB31D"/>
    <w:rsid w:val="378D257B"/>
    <w:rsid w:val="3C7A57BA"/>
    <w:rsid w:val="4F2B8B6C"/>
    <w:rsid w:val="5A646D8A"/>
    <w:rsid w:val="5F6D0B70"/>
    <w:rsid w:val="5FFF1F5D"/>
    <w:rsid w:val="6EF75F2F"/>
    <w:rsid w:val="76FFA304"/>
    <w:rsid w:val="7BF6AEE8"/>
    <w:rsid w:val="7C066DA8"/>
    <w:rsid w:val="7C0E1B52"/>
    <w:rsid w:val="7D7EAAFA"/>
    <w:rsid w:val="7DBC2A25"/>
    <w:rsid w:val="7DFDCA20"/>
    <w:rsid w:val="7EFD963B"/>
    <w:rsid w:val="7FDAFF6A"/>
    <w:rsid w:val="7FEFFDA5"/>
    <w:rsid w:val="7FFB8B92"/>
    <w:rsid w:val="87B7BC52"/>
    <w:rsid w:val="9F7F7CFB"/>
    <w:rsid w:val="A19EAFBF"/>
    <w:rsid w:val="BBBB59E0"/>
    <w:rsid w:val="DF9D6EF4"/>
    <w:rsid w:val="DFCC112E"/>
    <w:rsid w:val="DFF586B7"/>
    <w:rsid w:val="EDF3FE8A"/>
    <w:rsid w:val="FCBF6EE1"/>
    <w:rsid w:val="FDFAD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360" w:lineRule="auto"/>
      <w:ind w:firstLine="1120" w:firstLineChars="200"/>
      <w:jc w:val="left"/>
      <w:textAlignment w:val="baseline"/>
    </w:pPr>
    <w:rPr>
      <w:rFonts w:ascii="Arial" w:hAnsi="Arial" w:eastAsia="CESI仿宋-GB2312" w:cs="Arial"/>
      <w:snapToGrid w:val="0"/>
      <w:color w:val="000000"/>
      <w:kern w:val="0"/>
      <w:sz w:val="32"/>
      <w:szCs w:val="21"/>
      <w:lang w:val="en-US" w:eastAsia="en-US" w:bidi="ar-SA"/>
    </w:rPr>
  </w:style>
  <w:style w:type="paragraph" w:styleId="2">
    <w:name w:val="heading 1"/>
    <w:basedOn w:val="1"/>
    <w:next w:val="1"/>
    <w:qFormat/>
    <w:uiPriority w:val="0"/>
    <w:pPr>
      <w:keepNext/>
      <w:keepLines/>
      <w:spacing w:beforeLines="0" w:beforeAutospacing="0" w:afterLines="0" w:afterAutospacing="0" w:line="360" w:lineRule="auto"/>
      <w:ind w:firstLine="880" w:firstLineChars="200"/>
      <w:jc w:val="center"/>
      <w:outlineLvl w:val="0"/>
    </w:pPr>
    <w:rPr>
      <w:rFonts w:eastAsia="方正小标宋_GBK" w:asciiTheme="minorAscii" w:hAnsiTheme="minorAscii"/>
      <w:b/>
      <w:kern w:val="44"/>
      <w:sz w:val="44"/>
    </w:rPr>
  </w:style>
  <w:style w:type="paragraph" w:styleId="3">
    <w:name w:val="heading 2"/>
    <w:basedOn w:val="1"/>
    <w:next w:val="1"/>
    <w:link w:val="19"/>
    <w:unhideWhenUsed/>
    <w:qFormat/>
    <w:uiPriority w:val="0"/>
    <w:pPr>
      <w:keepNext/>
      <w:keepLines/>
      <w:spacing w:beforeLines="0" w:beforeAutospacing="0" w:afterLines="0" w:afterAutospacing="0" w:line="360" w:lineRule="auto"/>
      <w:jc w:val="left"/>
      <w:outlineLvl w:val="1"/>
    </w:pPr>
    <w:rPr>
      <w:rFonts w:ascii="Arial" w:hAnsi="Arial" w:eastAsia="黑体"/>
      <w:b/>
      <w:sz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footer"/>
    <w:basedOn w:val="1"/>
    <w:qFormat/>
    <w:uiPriority w:val="0"/>
    <w:pPr>
      <w:tabs>
        <w:tab w:val="center" w:pos="4153"/>
        <w:tab w:val="right" w:pos="8306"/>
      </w:tabs>
      <w:snapToGrid w:val="0"/>
      <w:jc w:val="left"/>
    </w:pPr>
    <w:rPr>
      <w:rFonts w:ascii="Times New Roman"/>
      <w:kern w:val="2"/>
      <w:position w:val="0"/>
      <w:sz w:val="18"/>
      <w:szCs w:val="18"/>
    </w:rPr>
  </w:style>
  <w:style w:type="paragraph" w:styleId="6">
    <w:name w:val="header"/>
    <w:basedOn w:val="1"/>
    <w:qFormat/>
    <w:uiPriority w:val="0"/>
    <w:pPr>
      <w:tabs>
        <w:tab w:val="center" w:pos="4153"/>
        <w:tab w:val="right" w:pos="8306"/>
      </w:tabs>
      <w:snapToGrid w:val="0"/>
      <w:jc w:val="center"/>
    </w:pPr>
    <w:rPr>
      <w:rFonts w:ascii="Times New Roman"/>
      <w:kern w:val="2"/>
      <w:position w:val="0"/>
      <w:sz w:val="18"/>
      <w:szCs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widowControl/>
      <w:spacing w:before="100" w:beforeAutospacing="1" w:after="100" w:afterAutospacing="1" w:line="283" w:lineRule="atLeast"/>
      <w:jc w:val="left"/>
    </w:pPr>
    <w:rPr>
      <w:rFonts w:ascii="宋体" w:hAnsi="宋体"/>
      <w:color w:val="000000"/>
      <w:kern w:val="0"/>
      <w:sz w:val="19"/>
      <w:szCs w:val="19"/>
    </w:rPr>
  </w:style>
  <w:style w:type="paragraph" w:styleId="10">
    <w:name w:val="Body Text First Indent"/>
    <w:basedOn w:val="4"/>
    <w:next w:val="1"/>
    <w:qFormat/>
    <w:uiPriority w:val="0"/>
    <w:pPr>
      <w:widowControl/>
      <w:spacing w:before="60" w:line="240" w:lineRule="auto"/>
      <w:ind w:firstLine="420" w:firstLineChars="100"/>
    </w:pPr>
    <w:rPr>
      <w:rFonts w:ascii="黑体" w:hAnsi="宋体" w:eastAsia="黑体" w:cs="Wide Latin"/>
      <w:lang w:val="en-US" w:eastAsia="zh-CN"/>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
    <w:name w:val="Table Text"/>
    <w:basedOn w:val="1"/>
    <w:semiHidden/>
    <w:qFormat/>
    <w:uiPriority w:val="0"/>
    <w:rPr>
      <w:rFonts w:ascii="仿宋" w:hAnsi="仿宋" w:eastAsia="仿宋" w:cs="仿宋"/>
      <w:sz w:val="24"/>
      <w:szCs w:val="24"/>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 w:type="paragraph" w:customStyle="1" w:styleId="17">
    <w:name w:val="标题二"/>
    <w:basedOn w:val="2"/>
    <w:qFormat/>
    <w:uiPriority w:val="0"/>
    <w:pPr>
      <w:spacing w:before="120"/>
      <w:jc w:val="left"/>
    </w:pPr>
    <w:rPr>
      <w:rFonts w:hAnsi="Times New Roman" w:eastAsia="黑体"/>
      <w:sz w:val="24"/>
      <w:szCs w:val="32"/>
    </w:rPr>
  </w:style>
  <w:style w:type="character" w:customStyle="1" w:styleId="18">
    <w:name w:val="标题 2 字符"/>
    <w:link w:val="3"/>
    <w:qFormat/>
    <w:uiPriority w:val="0"/>
    <w:rPr>
      <w:rFonts w:eastAsia="黑体"/>
      <w:b/>
      <w:sz w:val="28"/>
    </w:rPr>
  </w:style>
  <w:style w:type="character" w:customStyle="1" w:styleId="19">
    <w:name w:val="标题 2 Char"/>
    <w:link w:val="3"/>
    <w:qFormat/>
    <w:uiPriority w:val="0"/>
    <w:rPr>
      <w:rFonts w:ascii="Arial" w:hAnsi="Arial" w:eastAsia="黑体"/>
      <w:bCs/>
      <w:sz w:val="32"/>
      <w:szCs w:val="32"/>
    </w:rPr>
  </w:style>
  <w:style w:type="paragraph" w:customStyle="1" w:styleId="20">
    <w:name w:val="正文_3_0"/>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801</Words>
  <Characters>867</Characters>
  <Lines>0</Lines>
  <Paragraphs>0</Paragraphs>
  <TotalTime>4</TotalTime>
  <ScaleCrop>false</ScaleCrop>
  <LinksUpToDate>false</LinksUpToDate>
  <CharactersWithSpaces>914</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2026-03-15T08:18:00Z</dcterms:created>
  <dc:creator>123</dc:creator>
  <cp:lastModifiedBy>houqin</cp:lastModifiedBy>
  <cp:lastPrinted>2026-04-17T00:52:00Z</cp:lastPrinted>
  <dcterms:modified xsi:type="dcterms:W3CDTF">2026-04-21T10:18:24Z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8EA467BA05EC4DD4B3E3A9F7BDA0BEE8_11</vt:lpwstr>
  </property>
  <property fmtid="{D5CDD505-2E9C-101B-9397-08002B2CF9AE}" pid="4" name="KSOTemplateDocerSaveRecord">
    <vt:lpwstr>eyJoZGlkIjoiOGFjNDMwN2VmYmU3YmViODZmNDE3Zjk1ZTA4MmJkYmYiLCJ1c2VySWQiOiIzMTY0MDQyNzEifQ==</vt:lpwstr>
  </property>
</Properties>
</file>