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34C49">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3BBE2AF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09EAF37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西藏自治区建筑施工企业、工程项目安全</w:t>
      </w:r>
    </w:p>
    <w:p w14:paraId="6A9D5C2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生产管理机构设置及安全生产管理</w:t>
      </w:r>
    </w:p>
    <w:p w14:paraId="49568CD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人员配备办法实施细则</w:t>
      </w:r>
    </w:p>
    <w:p w14:paraId="0EAF40C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p>
    <w:p w14:paraId="3D2CBF6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14:paraId="20A60177">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为贯彻落实《建筑施工企业、工程项目安全生产管理机构设置及安全生产管理人员配备办法》（以下简称《办法》），进一步规范我区建筑施工企业（以下简称企业）及工程项目（以下简称项目）安全生产管理机构设置与人员配备，压实安全生产责任，提升安全治理能力，结合我区实际，制定本细则。</w:t>
      </w:r>
    </w:p>
    <w:p w14:paraId="33FF57E3">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在本自治区行政区域内从事房屋建筑和市政基础设施工程（以下简称房屋市政工程）施工活动的企业及项目，其安全生产管理机构的设置及安全生产管理人员的配备，除应遵守《办法》规定外，还应符合本细则要求。</w:t>
      </w:r>
    </w:p>
    <w:p w14:paraId="71E96F1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企业及项目应牢固树立安全发展理念，坚持源头防控、系统治理。安全生产管理机构及人员应依法履职，强化风险分级管控与隐患排查治理双重预防机制建设，切实提升事故防范能力。</w:t>
      </w:r>
    </w:p>
    <w:p w14:paraId="71A24B51">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自治区各级住房城乡建设主管部门</w:t>
      </w:r>
      <w:r>
        <w:rPr>
          <w:rFonts w:hint="eastAsia" w:ascii="仿宋_GB2312" w:hAnsi="仿宋_GB2312" w:eastAsia="仿宋_GB2312" w:cs="仿宋_GB2312"/>
          <w:sz w:val="32"/>
          <w:szCs w:val="32"/>
          <w:lang w:eastAsia="zh-CN"/>
        </w:rPr>
        <w:t>结合日常检查，以及西藏自治区房屋市政工程</w:t>
      </w:r>
      <w:r>
        <w:rPr>
          <w:rFonts w:hint="eastAsia" w:ascii="仿宋_GB2312" w:hAnsi="仿宋_GB2312" w:eastAsia="仿宋_GB2312" w:cs="仿宋_GB2312"/>
          <w:sz w:val="32"/>
          <w:szCs w:val="32"/>
        </w:rPr>
        <w:t>智慧化</w:t>
      </w:r>
      <w:r>
        <w:rPr>
          <w:rFonts w:hint="eastAsia" w:ascii="仿宋_GB2312" w:hAnsi="仿宋_GB2312" w:eastAsia="仿宋_GB2312" w:cs="仿宋_GB2312"/>
          <w:sz w:val="32"/>
          <w:szCs w:val="32"/>
          <w:lang w:eastAsia="zh-CN"/>
        </w:rPr>
        <w:t>服务与监管</w:t>
      </w:r>
      <w:r>
        <w:rPr>
          <w:rFonts w:hint="eastAsia" w:ascii="仿宋_GB2312" w:hAnsi="仿宋_GB2312" w:eastAsia="仿宋_GB2312" w:cs="仿宋_GB2312"/>
          <w:sz w:val="32"/>
          <w:szCs w:val="32"/>
        </w:rPr>
        <w:t>平台</w:t>
      </w:r>
      <w:r>
        <w:rPr>
          <w:rFonts w:hint="eastAsia" w:ascii="仿宋_GB2312" w:hAnsi="仿宋_GB2312" w:eastAsia="仿宋_GB2312" w:cs="仿宋_GB2312"/>
          <w:sz w:val="32"/>
          <w:szCs w:val="32"/>
          <w:lang w:eastAsia="zh-CN"/>
        </w:rPr>
        <w:t>（以下简称平台）</w:t>
      </w:r>
      <w:r>
        <w:rPr>
          <w:rFonts w:hint="eastAsia" w:ascii="仿宋_GB2312" w:hAnsi="仿宋_GB2312" w:eastAsia="仿宋_GB2312" w:cs="仿宋_GB2312"/>
          <w:sz w:val="32"/>
          <w:szCs w:val="32"/>
        </w:rPr>
        <w:t>，加强对企业及项目安全生产管理机构设置、人员配备及履职情况</w:t>
      </w:r>
      <w:r>
        <w:rPr>
          <w:rFonts w:hint="eastAsia" w:ascii="仿宋_GB2312" w:hAnsi="仿宋_GB2312" w:eastAsia="仿宋_GB2312" w:cs="仿宋_GB2312"/>
          <w:sz w:val="32"/>
          <w:szCs w:val="32"/>
          <w:lang w:eastAsia="zh-CN"/>
        </w:rPr>
        <w:t>、安全生产权责体系建设</w:t>
      </w:r>
      <w:r>
        <w:rPr>
          <w:rFonts w:hint="eastAsia" w:ascii="仿宋_GB2312" w:hAnsi="仿宋_GB2312" w:eastAsia="仿宋_GB2312" w:cs="仿宋_GB2312"/>
          <w:sz w:val="32"/>
          <w:szCs w:val="32"/>
        </w:rPr>
        <w:t>的动态监管。</w:t>
      </w:r>
    </w:p>
    <w:p w14:paraId="28D99E1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企业机构设置和人员配备</w:t>
      </w:r>
    </w:p>
    <w:p w14:paraId="2D3530E6">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企业应严格按照《办法》第六条规定，建立健全以企业主要负责人为核心的安全生产责任体系，履行法定职责。</w:t>
      </w:r>
    </w:p>
    <w:p w14:paraId="22DF7EA6">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具备条件的企业，特别是具有特级、一级施工总承包资质或一级专业承包资质的企业，应设立</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安全总监制度。</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安全总监的任职资格、职责及履职要求按《办法》第七条至第九条执行。</w:t>
      </w:r>
    </w:p>
    <w:p w14:paraId="5E0B37E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企业</w:t>
      </w:r>
      <w:r>
        <w:rPr>
          <w:rFonts w:hint="eastAsia" w:ascii="仿宋_GB2312" w:hAnsi="仿宋_GB2312" w:eastAsia="仿宋_GB2312" w:cs="仿宋_GB2312"/>
          <w:sz w:val="32"/>
          <w:szCs w:val="32"/>
          <w:lang w:eastAsia="zh-CN"/>
        </w:rPr>
        <w:t>应当设置独立的安全生产管理机构，并按照《办法》第十八条规定的最低标准配备专职安全生产管理人员，具体标准如下表所示。同时，鼓励企业根据自身经营规模扩大、设备管理复杂度增加，因</w:t>
      </w:r>
      <w:r>
        <w:rPr>
          <w:rFonts w:hint="eastAsia" w:ascii="仿宋_GB2312" w:hAnsi="仿宋_GB2312" w:eastAsia="仿宋_GB2312" w:cs="仿宋_GB2312"/>
          <w:sz w:val="32"/>
          <w:szCs w:val="32"/>
        </w:rPr>
        <w:t>高海拔、复杂地质条件等</w:t>
      </w:r>
      <w:r>
        <w:rPr>
          <w:rFonts w:hint="eastAsia" w:ascii="仿宋_GB2312" w:hAnsi="仿宋_GB2312" w:eastAsia="仿宋_GB2312" w:cs="仿宋_GB2312"/>
          <w:sz w:val="32"/>
          <w:szCs w:val="32"/>
          <w:lang w:eastAsia="zh-CN"/>
        </w:rPr>
        <w:t>生产活动安全风险提高等实际情况</w:t>
      </w:r>
      <w:r>
        <w:rPr>
          <w:rFonts w:hint="eastAsia" w:ascii="仿宋_GB2312" w:hAnsi="仿宋_GB2312" w:eastAsia="仿宋_GB2312" w:cs="仿宋_GB2312"/>
          <w:sz w:val="32"/>
          <w:szCs w:val="32"/>
        </w:rPr>
        <w:t>，适当增配人员，确保管理能力与安全风险相匹配。</w:t>
      </w:r>
    </w:p>
    <w:p w14:paraId="0DBD139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楷体" w:hAnsi="楷体" w:eastAsia="楷体" w:cs="楷体"/>
          <w:sz w:val="28"/>
          <w:szCs w:val="28"/>
          <w:lang w:eastAsia="zh-CN"/>
        </w:rPr>
        <w:t>建筑施工企业安全生产管理机构安全生产管理人员最低配备标准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1659"/>
        <w:gridCol w:w="1155"/>
        <w:gridCol w:w="856"/>
        <w:gridCol w:w="2515"/>
        <w:gridCol w:w="999"/>
      </w:tblGrid>
      <w:tr w14:paraId="7F2D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336" w:type="dxa"/>
            <w:noWrap w:val="0"/>
            <w:vAlign w:val="center"/>
          </w:tcPr>
          <w:p w14:paraId="3A5918F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5"/>
                <w:szCs w:val="15"/>
                <w:vertAlign w:val="baseline"/>
                <w:lang w:eastAsia="zh-CN"/>
              </w:rPr>
            </w:pPr>
            <w:r>
              <w:rPr>
                <w:rFonts w:hint="eastAsia" w:ascii="黑体" w:hAnsi="黑体" w:eastAsia="黑体" w:cs="黑体"/>
                <w:sz w:val="15"/>
                <w:szCs w:val="15"/>
                <w:vertAlign w:val="baseline"/>
                <w:lang w:eastAsia="zh-CN"/>
              </w:rPr>
              <w:t>企业资质序列</w:t>
            </w:r>
          </w:p>
        </w:tc>
        <w:tc>
          <w:tcPr>
            <w:tcW w:w="1659" w:type="dxa"/>
            <w:noWrap w:val="0"/>
            <w:vAlign w:val="center"/>
          </w:tcPr>
          <w:p w14:paraId="285E2F0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5"/>
                <w:szCs w:val="15"/>
                <w:vertAlign w:val="baseline"/>
                <w:lang w:eastAsia="zh-CN"/>
              </w:rPr>
            </w:pPr>
            <w:r>
              <w:rPr>
                <w:rFonts w:hint="eastAsia" w:ascii="黑体" w:hAnsi="黑体" w:eastAsia="黑体" w:cs="黑体"/>
                <w:sz w:val="15"/>
                <w:szCs w:val="15"/>
                <w:vertAlign w:val="baseline"/>
                <w:lang w:eastAsia="zh-CN"/>
              </w:rPr>
              <w:t>资质等级</w:t>
            </w:r>
          </w:p>
        </w:tc>
        <w:tc>
          <w:tcPr>
            <w:tcW w:w="1155" w:type="dxa"/>
            <w:noWrap w:val="0"/>
            <w:vAlign w:val="center"/>
          </w:tcPr>
          <w:p w14:paraId="68A63DC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5"/>
                <w:szCs w:val="15"/>
                <w:vertAlign w:val="baseline"/>
                <w:lang w:eastAsia="zh-CN"/>
              </w:rPr>
            </w:pPr>
            <w:r>
              <w:rPr>
                <w:rFonts w:hint="eastAsia" w:ascii="黑体" w:hAnsi="黑体" w:eastAsia="黑体" w:cs="黑体"/>
                <w:sz w:val="15"/>
                <w:szCs w:val="15"/>
                <w:vertAlign w:val="baseline"/>
                <w:lang w:eastAsia="zh-CN"/>
              </w:rPr>
              <w:t>企业法人和技术负责人最低配备人员</w:t>
            </w:r>
          </w:p>
        </w:tc>
        <w:tc>
          <w:tcPr>
            <w:tcW w:w="856" w:type="dxa"/>
            <w:noWrap w:val="0"/>
            <w:vAlign w:val="center"/>
          </w:tcPr>
          <w:p w14:paraId="5DADAB8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5"/>
                <w:szCs w:val="15"/>
                <w:vertAlign w:val="baseline"/>
                <w:lang w:eastAsia="zh-CN"/>
              </w:rPr>
            </w:pPr>
            <w:r>
              <w:rPr>
                <w:rFonts w:hint="eastAsia" w:ascii="黑体" w:hAnsi="黑体" w:eastAsia="黑体" w:cs="黑体"/>
                <w:sz w:val="15"/>
                <w:szCs w:val="15"/>
                <w:vertAlign w:val="baseline"/>
                <w:lang w:eastAsia="zh-CN"/>
              </w:rPr>
              <w:t>企业安全总监</w:t>
            </w:r>
          </w:p>
        </w:tc>
        <w:tc>
          <w:tcPr>
            <w:tcW w:w="2515" w:type="dxa"/>
            <w:noWrap w:val="0"/>
            <w:vAlign w:val="center"/>
          </w:tcPr>
          <w:p w14:paraId="7908120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5"/>
                <w:szCs w:val="15"/>
                <w:vertAlign w:val="baseline"/>
                <w:lang w:eastAsia="zh-CN"/>
              </w:rPr>
            </w:pPr>
            <w:r>
              <w:rPr>
                <w:rFonts w:hint="eastAsia" w:ascii="黑体" w:hAnsi="黑体" w:eastAsia="黑体" w:cs="黑体"/>
                <w:sz w:val="15"/>
                <w:szCs w:val="15"/>
                <w:vertAlign w:val="baseline"/>
                <w:lang w:eastAsia="zh-CN"/>
              </w:rPr>
              <w:t>专职安全生产管理人员最低配备人数</w:t>
            </w:r>
          </w:p>
        </w:tc>
        <w:tc>
          <w:tcPr>
            <w:tcW w:w="999" w:type="dxa"/>
            <w:noWrap w:val="0"/>
            <w:vAlign w:val="center"/>
          </w:tcPr>
          <w:p w14:paraId="2E989E3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5"/>
                <w:szCs w:val="15"/>
                <w:vertAlign w:val="baseline"/>
                <w:lang w:eastAsia="zh-CN"/>
              </w:rPr>
            </w:pPr>
            <w:r>
              <w:rPr>
                <w:rFonts w:hint="eastAsia" w:ascii="黑体" w:hAnsi="黑体" w:eastAsia="黑体" w:cs="黑体"/>
                <w:sz w:val="15"/>
                <w:szCs w:val="15"/>
                <w:vertAlign w:val="baseline"/>
                <w:lang w:eastAsia="zh-CN"/>
              </w:rPr>
              <w:t>备注</w:t>
            </w:r>
          </w:p>
        </w:tc>
      </w:tr>
      <w:tr w14:paraId="0094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36" w:type="dxa"/>
            <w:vMerge w:val="restart"/>
            <w:noWrap w:val="0"/>
            <w:vAlign w:val="center"/>
          </w:tcPr>
          <w:p w14:paraId="744AB36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施工总承包资质序列企业</w:t>
            </w:r>
          </w:p>
        </w:tc>
        <w:tc>
          <w:tcPr>
            <w:tcW w:w="1659" w:type="dxa"/>
            <w:noWrap w:val="0"/>
            <w:vAlign w:val="center"/>
          </w:tcPr>
          <w:p w14:paraId="5B8FCB4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特级资质</w:t>
            </w:r>
          </w:p>
        </w:tc>
        <w:tc>
          <w:tcPr>
            <w:tcW w:w="1155" w:type="dxa"/>
            <w:vMerge w:val="restart"/>
            <w:noWrap w:val="0"/>
            <w:vAlign w:val="center"/>
          </w:tcPr>
          <w:p w14:paraId="7001BB2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企业主要负责人和技术负责人（A证）各1人</w:t>
            </w:r>
          </w:p>
        </w:tc>
        <w:tc>
          <w:tcPr>
            <w:tcW w:w="856" w:type="dxa"/>
            <w:noWrap w:val="0"/>
            <w:vAlign w:val="center"/>
          </w:tcPr>
          <w:p w14:paraId="08EFC0A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A证</w:t>
            </w:r>
          </w:p>
        </w:tc>
        <w:tc>
          <w:tcPr>
            <w:tcW w:w="2515" w:type="dxa"/>
            <w:noWrap w:val="0"/>
            <w:vAlign w:val="center"/>
          </w:tcPr>
          <w:p w14:paraId="39A5B71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不少于</w:t>
            </w:r>
            <w:r>
              <w:rPr>
                <w:rFonts w:hint="eastAsia" w:ascii="仿宋_GB2312" w:hAnsi="仿宋_GB2312" w:eastAsia="仿宋_GB2312" w:cs="仿宋_GB2312"/>
                <w:sz w:val="18"/>
                <w:szCs w:val="18"/>
                <w:vertAlign w:val="baseline"/>
                <w:lang w:val="en-US" w:eastAsia="zh-CN"/>
              </w:rPr>
              <w:t>6人</w:t>
            </w:r>
          </w:p>
        </w:tc>
        <w:tc>
          <w:tcPr>
            <w:tcW w:w="999" w:type="dxa"/>
            <w:vMerge w:val="restart"/>
            <w:noWrap w:val="0"/>
            <w:vAlign w:val="center"/>
          </w:tcPr>
          <w:p w14:paraId="31256C5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8"/>
                <w:szCs w:val="18"/>
                <w:vertAlign w:val="baseline"/>
                <w:lang w:val="en-US" w:eastAsia="zh-CN"/>
              </w:rPr>
              <w:t>企业分公司、区域公司等分支机构应依据实际生产情况，配备不少于2人专职安全生产管理人员</w:t>
            </w:r>
          </w:p>
        </w:tc>
      </w:tr>
      <w:tr w14:paraId="7026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36" w:type="dxa"/>
            <w:vMerge w:val="continue"/>
            <w:noWrap w:val="0"/>
            <w:vAlign w:val="center"/>
          </w:tcPr>
          <w:p w14:paraId="338F05B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rPr>
            </w:pPr>
          </w:p>
        </w:tc>
        <w:tc>
          <w:tcPr>
            <w:tcW w:w="1659" w:type="dxa"/>
            <w:noWrap w:val="0"/>
            <w:vAlign w:val="center"/>
          </w:tcPr>
          <w:p w14:paraId="5D0B0DE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一级资质</w:t>
            </w:r>
          </w:p>
        </w:tc>
        <w:tc>
          <w:tcPr>
            <w:tcW w:w="1155" w:type="dxa"/>
            <w:vMerge w:val="continue"/>
            <w:noWrap w:val="0"/>
            <w:vAlign w:val="center"/>
          </w:tcPr>
          <w:p w14:paraId="75E69C1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vertAlign w:val="baseline"/>
                <w:lang w:val="en-US" w:eastAsia="zh-CN"/>
              </w:rPr>
            </w:pPr>
          </w:p>
        </w:tc>
        <w:tc>
          <w:tcPr>
            <w:tcW w:w="856" w:type="dxa"/>
            <w:noWrap w:val="0"/>
            <w:vAlign w:val="center"/>
          </w:tcPr>
          <w:p w14:paraId="1E87618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val="en-US" w:eastAsia="zh-CN"/>
              </w:rPr>
              <w:t>A证</w:t>
            </w:r>
          </w:p>
        </w:tc>
        <w:tc>
          <w:tcPr>
            <w:tcW w:w="2515" w:type="dxa"/>
            <w:noWrap w:val="0"/>
            <w:vAlign w:val="center"/>
          </w:tcPr>
          <w:p w14:paraId="11E12FC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不少于</w:t>
            </w:r>
            <w:r>
              <w:rPr>
                <w:rFonts w:hint="eastAsia" w:ascii="仿宋_GB2312" w:hAnsi="仿宋_GB2312" w:eastAsia="仿宋_GB2312" w:cs="仿宋_GB2312"/>
                <w:sz w:val="18"/>
                <w:szCs w:val="18"/>
                <w:vertAlign w:val="baseline"/>
                <w:lang w:val="en-US" w:eastAsia="zh-CN"/>
              </w:rPr>
              <w:t>4人</w:t>
            </w:r>
          </w:p>
        </w:tc>
        <w:tc>
          <w:tcPr>
            <w:tcW w:w="999" w:type="dxa"/>
            <w:vMerge w:val="continue"/>
            <w:noWrap w:val="0"/>
            <w:vAlign w:val="center"/>
          </w:tcPr>
          <w:p w14:paraId="1F195C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15"/>
                <w:szCs w:val="15"/>
                <w:vertAlign w:val="baseline"/>
              </w:rPr>
            </w:pPr>
          </w:p>
        </w:tc>
      </w:tr>
      <w:tr w14:paraId="5E0A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36" w:type="dxa"/>
            <w:vMerge w:val="continue"/>
            <w:noWrap w:val="0"/>
            <w:vAlign w:val="center"/>
          </w:tcPr>
          <w:p w14:paraId="5E55BE4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rPr>
            </w:pPr>
          </w:p>
        </w:tc>
        <w:tc>
          <w:tcPr>
            <w:tcW w:w="1659" w:type="dxa"/>
            <w:noWrap w:val="0"/>
            <w:vAlign w:val="center"/>
          </w:tcPr>
          <w:p w14:paraId="388165B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二级及以下资质（含不分等级）</w:t>
            </w:r>
          </w:p>
        </w:tc>
        <w:tc>
          <w:tcPr>
            <w:tcW w:w="1155" w:type="dxa"/>
            <w:vMerge w:val="continue"/>
            <w:noWrap w:val="0"/>
            <w:vAlign w:val="center"/>
          </w:tcPr>
          <w:p w14:paraId="3BE80F2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vertAlign w:val="baseline"/>
                <w:lang w:val="en-US" w:eastAsia="zh-CN"/>
              </w:rPr>
            </w:pPr>
          </w:p>
        </w:tc>
        <w:tc>
          <w:tcPr>
            <w:tcW w:w="856" w:type="dxa"/>
            <w:noWrap w:val="0"/>
            <w:vAlign w:val="center"/>
          </w:tcPr>
          <w:p w14:paraId="3C59ECB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p>
        </w:tc>
        <w:tc>
          <w:tcPr>
            <w:tcW w:w="2515" w:type="dxa"/>
            <w:noWrap w:val="0"/>
            <w:vAlign w:val="center"/>
          </w:tcPr>
          <w:p w14:paraId="51F067F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不少于</w:t>
            </w:r>
            <w:r>
              <w:rPr>
                <w:rFonts w:hint="eastAsia" w:ascii="仿宋_GB2312" w:hAnsi="仿宋_GB2312" w:eastAsia="仿宋_GB2312" w:cs="仿宋_GB2312"/>
                <w:sz w:val="18"/>
                <w:szCs w:val="18"/>
                <w:vertAlign w:val="baseline"/>
                <w:lang w:val="en-US" w:eastAsia="zh-CN"/>
              </w:rPr>
              <w:t>3人</w:t>
            </w:r>
          </w:p>
        </w:tc>
        <w:tc>
          <w:tcPr>
            <w:tcW w:w="999" w:type="dxa"/>
            <w:vMerge w:val="continue"/>
            <w:noWrap w:val="0"/>
            <w:vAlign w:val="center"/>
          </w:tcPr>
          <w:p w14:paraId="1ADB89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15"/>
                <w:szCs w:val="15"/>
                <w:vertAlign w:val="baseline"/>
              </w:rPr>
            </w:pPr>
          </w:p>
        </w:tc>
      </w:tr>
      <w:tr w14:paraId="0E47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36" w:type="dxa"/>
            <w:vMerge w:val="restart"/>
            <w:noWrap w:val="0"/>
            <w:vAlign w:val="center"/>
          </w:tcPr>
          <w:p w14:paraId="1EC855E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vertAlign w:val="baseline"/>
              </w:rPr>
              <w:t>专业承包资质序列企业</w:t>
            </w:r>
          </w:p>
        </w:tc>
        <w:tc>
          <w:tcPr>
            <w:tcW w:w="1659" w:type="dxa"/>
            <w:noWrap w:val="0"/>
            <w:vAlign w:val="center"/>
          </w:tcPr>
          <w:p w14:paraId="1ACB4FC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一级资质</w:t>
            </w:r>
          </w:p>
        </w:tc>
        <w:tc>
          <w:tcPr>
            <w:tcW w:w="1155" w:type="dxa"/>
            <w:vMerge w:val="continue"/>
            <w:noWrap w:val="0"/>
            <w:vAlign w:val="center"/>
          </w:tcPr>
          <w:p w14:paraId="6F27C08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vertAlign w:val="baseline"/>
                <w:lang w:val="en-US" w:eastAsia="zh-CN"/>
              </w:rPr>
            </w:pPr>
          </w:p>
        </w:tc>
        <w:tc>
          <w:tcPr>
            <w:tcW w:w="856" w:type="dxa"/>
            <w:noWrap w:val="0"/>
            <w:vAlign w:val="center"/>
          </w:tcPr>
          <w:p w14:paraId="328B010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val="en-US" w:eastAsia="zh-CN"/>
              </w:rPr>
              <w:t>A证</w:t>
            </w:r>
          </w:p>
        </w:tc>
        <w:tc>
          <w:tcPr>
            <w:tcW w:w="2515" w:type="dxa"/>
            <w:noWrap w:val="0"/>
            <w:vAlign w:val="center"/>
          </w:tcPr>
          <w:p w14:paraId="59FD81E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不少于</w:t>
            </w:r>
            <w:r>
              <w:rPr>
                <w:rFonts w:hint="eastAsia" w:ascii="仿宋_GB2312" w:hAnsi="仿宋_GB2312" w:eastAsia="仿宋_GB2312" w:cs="仿宋_GB2312"/>
                <w:sz w:val="18"/>
                <w:szCs w:val="18"/>
                <w:vertAlign w:val="baseline"/>
                <w:lang w:val="en-US" w:eastAsia="zh-CN"/>
              </w:rPr>
              <w:t>3人</w:t>
            </w:r>
          </w:p>
        </w:tc>
        <w:tc>
          <w:tcPr>
            <w:tcW w:w="999" w:type="dxa"/>
            <w:vMerge w:val="continue"/>
            <w:noWrap w:val="0"/>
            <w:vAlign w:val="center"/>
          </w:tcPr>
          <w:p w14:paraId="647391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15"/>
                <w:szCs w:val="15"/>
                <w:vertAlign w:val="baseline"/>
              </w:rPr>
            </w:pPr>
          </w:p>
        </w:tc>
      </w:tr>
      <w:tr w14:paraId="4269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36" w:type="dxa"/>
            <w:vMerge w:val="continue"/>
            <w:noWrap w:val="0"/>
            <w:vAlign w:val="center"/>
          </w:tcPr>
          <w:p w14:paraId="1E9A51E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rPr>
            </w:pPr>
          </w:p>
        </w:tc>
        <w:tc>
          <w:tcPr>
            <w:tcW w:w="1659" w:type="dxa"/>
            <w:noWrap w:val="0"/>
            <w:vAlign w:val="center"/>
          </w:tcPr>
          <w:p w14:paraId="4ABD88C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二级以下（含不分等级）资质</w:t>
            </w:r>
          </w:p>
        </w:tc>
        <w:tc>
          <w:tcPr>
            <w:tcW w:w="1155" w:type="dxa"/>
            <w:vMerge w:val="continue"/>
            <w:noWrap w:val="0"/>
            <w:vAlign w:val="center"/>
          </w:tcPr>
          <w:p w14:paraId="7FC78A2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vertAlign w:val="baseline"/>
                <w:lang w:val="en-US" w:eastAsia="zh-CN"/>
              </w:rPr>
            </w:pPr>
          </w:p>
        </w:tc>
        <w:tc>
          <w:tcPr>
            <w:tcW w:w="856" w:type="dxa"/>
            <w:noWrap w:val="0"/>
            <w:vAlign w:val="center"/>
          </w:tcPr>
          <w:p w14:paraId="02B6C8B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p>
        </w:tc>
        <w:tc>
          <w:tcPr>
            <w:tcW w:w="2515" w:type="dxa"/>
            <w:noWrap w:val="0"/>
            <w:vAlign w:val="center"/>
          </w:tcPr>
          <w:p w14:paraId="19E8B05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不少于</w:t>
            </w:r>
            <w:r>
              <w:rPr>
                <w:rFonts w:hint="eastAsia" w:ascii="仿宋_GB2312" w:hAnsi="仿宋_GB2312" w:eastAsia="仿宋_GB2312" w:cs="仿宋_GB2312"/>
                <w:sz w:val="18"/>
                <w:szCs w:val="18"/>
                <w:vertAlign w:val="baseline"/>
                <w:lang w:val="en-US" w:eastAsia="zh-CN"/>
              </w:rPr>
              <w:t>2人</w:t>
            </w:r>
          </w:p>
        </w:tc>
        <w:tc>
          <w:tcPr>
            <w:tcW w:w="999" w:type="dxa"/>
            <w:vMerge w:val="continue"/>
            <w:noWrap w:val="0"/>
            <w:vAlign w:val="center"/>
          </w:tcPr>
          <w:p w14:paraId="1CCB57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15"/>
                <w:szCs w:val="15"/>
                <w:vertAlign w:val="baseline"/>
              </w:rPr>
            </w:pPr>
          </w:p>
        </w:tc>
      </w:tr>
      <w:tr w14:paraId="445C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36" w:type="dxa"/>
            <w:noWrap w:val="0"/>
            <w:vAlign w:val="center"/>
          </w:tcPr>
          <w:p w14:paraId="28175F0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劳务分包资质序列企业</w:t>
            </w:r>
          </w:p>
        </w:tc>
        <w:tc>
          <w:tcPr>
            <w:tcW w:w="1659" w:type="dxa"/>
            <w:noWrap w:val="0"/>
            <w:vAlign w:val="center"/>
          </w:tcPr>
          <w:p w14:paraId="09AB8E8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不分等级</w:t>
            </w:r>
          </w:p>
        </w:tc>
        <w:tc>
          <w:tcPr>
            <w:tcW w:w="1155" w:type="dxa"/>
            <w:vMerge w:val="continue"/>
            <w:noWrap w:val="0"/>
            <w:vAlign w:val="center"/>
          </w:tcPr>
          <w:p w14:paraId="442521E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rPr>
            </w:pPr>
          </w:p>
        </w:tc>
        <w:tc>
          <w:tcPr>
            <w:tcW w:w="856" w:type="dxa"/>
            <w:noWrap w:val="0"/>
            <w:vAlign w:val="center"/>
          </w:tcPr>
          <w:p w14:paraId="002D1FE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p>
        </w:tc>
        <w:tc>
          <w:tcPr>
            <w:tcW w:w="2515" w:type="dxa"/>
            <w:noWrap w:val="0"/>
            <w:vAlign w:val="center"/>
          </w:tcPr>
          <w:p w14:paraId="35CD3F2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不少于</w:t>
            </w:r>
            <w:r>
              <w:rPr>
                <w:rFonts w:hint="eastAsia" w:ascii="仿宋_GB2312" w:hAnsi="仿宋_GB2312" w:eastAsia="仿宋_GB2312" w:cs="仿宋_GB2312"/>
                <w:sz w:val="18"/>
                <w:szCs w:val="18"/>
                <w:vertAlign w:val="baseline"/>
                <w:lang w:val="en-US" w:eastAsia="zh-CN"/>
              </w:rPr>
              <w:t>2人</w:t>
            </w:r>
          </w:p>
        </w:tc>
        <w:tc>
          <w:tcPr>
            <w:tcW w:w="999" w:type="dxa"/>
            <w:vMerge w:val="continue"/>
            <w:noWrap w:val="0"/>
            <w:vAlign w:val="center"/>
          </w:tcPr>
          <w:p w14:paraId="66A86D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15"/>
                <w:szCs w:val="15"/>
                <w:vertAlign w:val="baseline"/>
              </w:rPr>
            </w:pPr>
          </w:p>
        </w:tc>
      </w:tr>
      <w:tr w14:paraId="57DF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36" w:type="dxa"/>
            <w:noWrap w:val="0"/>
            <w:vAlign w:val="center"/>
          </w:tcPr>
          <w:p w14:paraId="7C7D509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涉及建筑起重机械的企业</w:t>
            </w:r>
          </w:p>
        </w:tc>
        <w:tc>
          <w:tcPr>
            <w:tcW w:w="1659" w:type="dxa"/>
            <w:noWrap w:val="0"/>
            <w:vAlign w:val="center"/>
          </w:tcPr>
          <w:p w14:paraId="12BB4B0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所有等级</w:t>
            </w:r>
          </w:p>
        </w:tc>
        <w:tc>
          <w:tcPr>
            <w:tcW w:w="1155" w:type="dxa"/>
            <w:vMerge w:val="continue"/>
            <w:noWrap w:val="0"/>
            <w:vAlign w:val="center"/>
          </w:tcPr>
          <w:p w14:paraId="780EB95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rPr>
            </w:pPr>
          </w:p>
        </w:tc>
        <w:tc>
          <w:tcPr>
            <w:tcW w:w="856" w:type="dxa"/>
            <w:noWrap w:val="0"/>
            <w:vAlign w:val="center"/>
          </w:tcPr>
          <w:p w14:paraId="14D09C6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p>
        </w:tc>
        <w:tc>
          <w:tcPr>
            <w:tcW w:w="2515" w:type="dxa"/>
            <w:noWrap w:val="0"/>
            <w:vAlign w:val="center"/>
          </w:tcPr>
          <w:p w14:paraId="405DF59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在上述对应资质标准基础上，至少增加</w:t>
            </w:r>
            <w:r>
              <w:rPr>
                <w:rFonts w:hint="eastAsia" w:ascii="仿宋_GB2312" w:hAnsi="仿宋_GB2312" w:eastAsia="仿宋_GB2312" w:cs="仿宋_GB2312"/>
                <w:sz w:val="18"/>
                <w:szCs w:val="18"/>
                <w:vertAlign w:val="baseline"/>
                <w:lang w:val="en-US" w:eastAsia="zh-CN"/>
              </w:rPr>
              <w:t>1名机械类专职安全生产管理人员（C1）</w:t>
            </w:r>
          </w:p>
        </w:tc>
        <w:tc>
          <w:tcPr>
            <w:tcW w:w="999" w:type="dxa"/>
            <w:vMerge w:val="continue"/>
            <w:noWrap w:val="0"/>
            <w:vAlign w:val="center"/>
          </w:tcPr>
          <w:p w14:paraId="6DB5E4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15"/>
                <w:szCs w:val="15"/>
                <w:vertAlign w:val="baseline"/>
              </w:rPr>
            </w:pPr>
          </w:p>
        </w:tc>
      </w:tr>
      <w:tr w14:paraId="6626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520" w:type="dxa"/>
            <w:gridSpan w:val="6"/>
            <w:noWrap w:val="0"/>
            <w:vAlign w:val="center"/>
          </w:tcPr>
          <w:p w14:paraId="742B174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5"/>
                <w:szCs w:val="15"/>
                <w:vertAlign w:val="baseline"/>
              </w:rPr>
            </w:pPr>
            <w:r>
              <w:rPr>
                <w:rFonts w:hint="eastAsia" w:ascii="仿宋_GB2312" w:hAnsi="仿宋_GB2312" w:eastAsia="仿宋_GB2312" w:cs="仿宋_GB2312"/>
                <w:sz w:val="15"/>
                <w:szCs w:val="15"/>
                <w:vertAlign w:val="baseline"/>
              </w:rPr>
              <w:t>鼓励其他有条件的企业、分支机构、子公司结合生产经营规模、安全风险等因素设置</w:t>
            </w:r>
            <w:r>
              <w:rPr>
                <w:rFonts w:hint="eastAsia" w:ascii="仿宋_GB2312" w:hAnsi="仿宋_GB2312" w:eastAsia="仿宋_GB2312" w:cs="仿宋_GB2312"/>
                <w:sz w:val="15"/>
                <w:szCs w:val="15"/>
                <w:vertAlign w:val="baseline"/>
                <w:lang w:eastAsia="zh-CN"/>
              </w:rPr>
              <w:t>企业</w:t>
            </w:r>
            <w:r>
              <w:rPr>
                <w:rFonts w:hint="eastAsia" w:ascii="仿宋_GB2312" w:hAnsi="仿宋_GB2312" w:eastAsia="仿宋_GB2312" w:cs="仿宋_GB2312"/>
                <w:sz w:val="15"/>
                <w:szCs w:val="15"/>
                <w:vertAlign w:val="baseline"/>
              </w:rPr>
              <w:t>安全总监。</w:t>
            </w:r>
          </w:p>
        </w:tc>
      </w:tr>
    </w:tbl>
    <w:p w14:paraId="5223A96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企业应保障安全生产管理人员</w:t>
      </w:r>
      <w:r>
        <w:rPr>
          <w:rFonts w:hint="eastAsia" w:ascii="仿宋_GB2312" w:hAnsi="仿宋_GB2312" w:eastAsia="仿宋_GB2312" w:cs="仿宋_GB2312"/>
          <w:sz w:val="32"/>
          <w:szCs w:val="32"/>
          <w:lang w:eastAsia="zh-CN"/>
        </w:rPr>
        <w:t>履职所需条件，落实并改善其</w:t>
      </w:r>
      <w:r>
        <w:rPr>
          <w:rFonts w:hint="eastAsia" w:ascii="仿宋_GB2312" w:hAnsi="仿宋_GB2312" w:eastAsia="仿宋_GB2312" w:cs="仿宋_GB2312"/>
          <w:sz w:val="32"/>
          <w:szCs w:val="32"/>
        </w:rPr>
        <w:t>薪酬待遇</w:t>
      </w:r>
      <w:r>
        <w:rPr>
          <w:rFonts w:hint="eastAsia" w:ascii="仿宋_GB2312" w:hAnsi="仿宋_GB2312" w:eastAsia="仿宋_GB2312" w:cs="仿宋_GB2312"/>
          <w:sz w:val="32"/>
          <w:szCs w:val="32"/>
          <w:lang w:eastAsia="zh-CN"/>
        </w:rPr>
        <w:t>。安全生产管理人员的工资水平不应低于本单位</w:t>
      </w:r>
      <w:r>
        <w:rPr>
          <w:rFonts w:hint="eastAsia" w:ascii="仿宋_GB2312" w:hAnsi="仿宋_GB2312" w:eastAsia="仿宋_GB2312" w:cs="仿宋_GB2312"/>
          <w:sz w:val="32"/>
          <w:szCs w:val="32"/>
        </w:rPr>
        <w:t>同</w:t>
      </w:r>
      <w:r>
        <w:rPr>
          <w:rFonts w:hint="eastAsia" w:ascii="仿宋_GB2312" w:hAnsi="仿宋_GB2312" w:eastAsia="仿宋_GB2312" w:cs="仿宋_GB2312"/>
          <w:sz w:val="32"/>
          <w:szCs w:val="32"/>
          <w:lang w:eastAsia="zh-CN"/>
        </w:rPr>
        <w:t>职</w:t>
      </w:r>
      <w:r>
        <w:rPr>
          <w:rFonts w:hint="eastAsia" w:ascii="仿宋_GB2312" w:hAnsi="仿宋_GB2312" w:eastAsia="仿宋_GB2312" w:cs="仿宋_GB2312"/>
          <w:sz w:val="32"/>
          <w:szCs w:val="32"/>
        </w:rPr>
        <w:t>级其他专业</w:t>
      </w:r>
      <w:r>
        <w:rPr>
          <w:rFonts w:hint="eastAsia" w:ascii="仿宋_GB2312" w:hAnsi="仿宋_GB2312" w:eastAsia="仿宋_GB2312" w:cs="仿宋_GB2312"/>
          <w:sz w:val="32"/>
          <w:szCs w:val="32"/>
          <w:lang w:eastAsia="zh-CN"/>
        </w:rPr>
        <w:t>技术</w:t>
      </w:r>
      <w:r>
        <w:rPr>
          <w:rFonts w:hint="eastAsia" w:ascii="仿宋_GB2312" w:hAnsi="仿宋_GB2312" w:eastAsia="仿宋_GB2312" w:cs="仿宋_GB2312"/>
          <w:sz w:val="32"/>
          <w:szCs w:val="32"/>
        </w:rPr>
        <w:t>管理人员</w:t>
      </w:r>
      <w:r>
        <w:rPr>
          <w:rFonts w:hint="eastAsia" w:ascii="仿宋_GB2312" w:hAnsi="仿宋_GB2312" w:eastAsia="仿宋_GB2312" w:cs="仿宋_GB2312"/>
          <w:sz w:val="32"/>
          <w:szCs w:val="32"/>
          <w:lang w:eastAsia="zh-CN"/>
        </w:rPr>
        <w:t>，并按规定落实各项社会保险。鼓励企业建立安全生产管理岗位专项津贴制度，对安全总监及专职安全生产管理人员给予其职责、风险相匹配的待遇。</w:t>
      </w:r>
    </w:p>
    <w:p w14:paraId="682D6D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项目机构设置和人员配备</w:t>
      </w:r>
    </w:p>
    <w:p w14:paraId="14179AB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项目经理是项目安全生产第一责任人，必须严格履行《办法》第二十条规定的各项职责，落实带班生产制度。</w:t>
      </w:r>
    </w:p>
    <w:p w14:paraId="260BA82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符合《办法》第二十一条规定规模的项目，必须配备项目安全总监，并设置独立的项目安全生产管理机构。鼓励其他项目根据施工难度、风险等级等因素参照执行。</w:t>
      </w:r>
    </w:p>
    <w:p w14:paraId="4960885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项目安全总监的任职资格应符合《办法》第二十二条规定，协助项目经理全面履行项目安全生产管理职责应符合《办法》第二十三条。</w:t>
      </w:r>
    </w:p>
    <w:p w14:paraId="4184FCF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施工总承包单位</w:t>
      </w:r>
      <w:r>
        <w:rPr>
          <w:rFonts w:hint="eastAsia" w:ascii="仿宋_GB2312" w:hAnsi="仿宋_GB2312" w:eastAsia="仿宋_GB2312" w:cs="仿宋_GB2312"/>
          <w:sz w:val="32"/>
          <w:szCs w:val="32"/>
          <w:lang w:eastAsia="zh-CN"/>
        </w:rPr>
        <w:t>对项目安全生产管理人员的配备负总责。项目现场专职安全生产管理人员的配备人数不得低于下表标准。配备时，应首先满足《办法》</w:t>
      </w:r>
      <w:r>
        <w:rPr>
          <w:rFonts w:hint="eastAsia" w:ascii="仿宋_GB2312" w:hAnsi="仿宋_GB2312" w:eastAsia="仿宋_GB2312" w:cs="仿宋_GB2312"/>
          <w:sz w:val="32"/>
          <w:szCs w:val="32"/>
        </w:rPr>
        <w:t>第二十六条</w:t>
      </w:r>
      <w:r>
        <w:rPr>
          <w:rFonts w:hint="eastAsia" w:ascii="仿宋_GB2312" w:hAnsi="仿宋_GB2312" w:eastAsia="仿宋_GB2312" w:cs="仿宋_GB2312"/>
          <w:sz w:val="32"/>
          <w:szCs w:val="32"/>
          <w:lang w:eastAsia="zh-CN"/>
        </w:rPr>
        <w:t>对施工总承包单位派驻人员的要求；同时施工总承包单位应在分包合同中明确分包单位的配备要求，确保各分包单位派驻人员数量符合《办法》第</w:t>
      </w:r>
      <w:r>
        <w:rPr>
          <w:rFonts w:hint="eastAsia" w:ascii="仿宋_GB2312" w:hAnsi="仿宋_GB2312" w:eastAsia="仿宋_GB2312" w:cs="仿宋_GB2312"/>
          <w:sz w:val="32"/>
          <w:szCs w:val="32"/>
        </w:rPr>
        <w:t>二十七条</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，并</w:t>
      </w:r>
      <w:r>
        <w:rPr>
          <w:rFonts w:hint="eastAsia" w:ascii="仿宋_GB2312" w:hAnsi="仿宋_GB2312" w:eastAsia="仿宋_GB2312" w:cs="仿宋_GB2312"/>
          <w:sz w:val="32"/>
          <w:szCs w:val="32"/>
          <w:lang w:eastAsia="zh-CN"/>
        </w:rPr>
        <w:t>与施工总承包单位派驻人员共同满足下表规定的项目总计最低项目安全生产管理人员</w:t>
      </w:r>
      <w:r>
        <w:rPr>
          <w:rFonts w:hint="eastAsia" w:ascii="仿宋_GB2312" w:hAnsi="仿宋_GB2312" w:eastAsia="仿宋_GB2312" w:cs="仿宋_GB2312"/>
          <w:sz w:val="32"/>
          <w:szCs w:val="32"/>
        </w:rPr>
        <w:t>配备标准：</w:t>
      </w:r>
    </w:p>
    <w:p w14:paraId="1D7CE7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房屋市政工程项目安全生产管理人员最低配备标准表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815"/>
        <w:gridCol w:w="2325"/>
        <w:gridCol w:w="1061"/>
        <w:gridCol w:w="1845"/>
        <w:gridCol w:w="2420"/>
      </w:tblGrid>
      <w:tr w14:paraId="629B9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Header/>
        </w:trPr>
        <w:tc>
          <w:tcPr>
            <w:tcW w:w="815" w:type="dxa"/>
            <w:tcBorders>
              <w:top w:val="single" w:color="auto" w:sz="4" w:space="0"/>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670EEC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5"/>
                <w:szCs w:val="15"/>
              </w:rPr>
            </w:pPr>
            <w:r>
              <w:rPr>
                <w:rFonts w:hint="eastAsia" w:ascii="黑体" w:hAnsi="黑体" w:eastAsia="黑体" w:cs="黑体"/>
                <w:kern w:val="0"/>
                <w:sz w:val="15"/>
                <w:szCs w:val="15"/>
                <w:lang w:val="en-US" w:eastAsia="zh-CN" w:bidi="ar"/>
              </w:rPr>
              <w:t>工程类别</w:t>
            </w: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343C456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5"/>
                <w:szCs w:val="15"/>
              </w:rPr>
            </w:pPr>
            <w:r>
              <w:rPr>
                <w:rFonts w:hint="eastAsia" w:ascii="黑体" w:hAnsi="黑体" w:eastAsia="黑体" w:cs="黑体"/>
                <w:kern w:val="0"/>
                <w:sz w:val="15"/>
                <w:szCs w:val="15"/>
                <w:lang w:val="en-US" w:eastAsia="zh-CN" w:bidi="ar"/>
              </w:rPr>
              <w:t>规模指标</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08E208D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5"/>
                <w:szCs w:val="15"/>
              </w:rPr>
            </w:pPr>
            <w:r>
              <w:rPr>
                <w:rFonts w:hint="eastAsia" w:ascii="黑体" w:hAnsi="黑体" w:eastAsia="黑体" w:cs="黑体"/>
                <w:kern w:val="0"/>
                <w:sz w:val="15"/>
                <w:szCs w:val="15"/>
                <w:lang w:val="en-US" w:eastAsia="zh-CN" w:bidi="ar"/>
              </w:rPr>
              <w:t>配备安全总监要求</w:t>
            </w:r>
          </w:p>
        </w:tc>
        <w:tc>
          <w:tcPr>
            <w:tcW w:w="184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45B8EC3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5"/>
                <w:szCs w:val="15"/>
              </w:rPr>
            </w:pPr>
            <w:r>
              <w:rPr>
                <w:rFonts w:hint="eastAsia" w:ascii="黑体" w:hAnsi="黑体" w:eastAsia="黑体" w:cs="黑体"/>
                <w:kern w:val="0"/>
                <w:sz w:val="15"/>
                <w:szCs w:val="15"/>
                <w:lang w:val="en-US" w:eastAsia="zh-CN" w:bidi="ar"/>
              </w:rPr>
              <w:t>专职安全生产管理人员最低配备人数</w:t>
            </w:r>
          </w:p>
        </w:tc>
        <w:tc>
          <w:tcPr>
            <w:tcW w:w="2420"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125B3F1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5"/>
                <w:szCs w:val="15"/>
              </w:rPr>
            </w:pPr>
            <w:r>
              <w:rPr>
                <w:rFonts w:hint="eastAsia" w:ascii="黑体" w:hAnsi="黑体" w:eastAsia="黑体" w:cs="黑体"/>
                <w:kern w:val="0"/>
                <w:sz w:val="15"/>
                <w:szCs w:val="15"/>
                <w:lang w:val="en-US" w:eastAsia="zh-CN" w:bidi="ar"/>
              </w:rPr>
              <w:t>备注</w:t>
            </w:r>
          </w:p>
        </w:tc>
      </w:tr>
      <w:tr w14:paraId="3875F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5" w:type="dxa"/>
            <w:vMerge w:val="restart"/>
            <w:tcBorders>
              <w:top w:val="single" w:color="auto" w:sz="4" w:space="0"/>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2C48055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Style w:val="8"/>
                <w:rFonts w:hint="eastAsia" w:ascii="仿宋_GB2312" w:hAnsi="仿宋_GB2312" w:eastAsia="仿宋_GB2312" w:cs="仿宋_GB2312"/>
                <w:b w:val="0"/>
                <w:bCs w:val="0"/>
                <w:kern w:val="0"/>
                <w:sz w:val="18"/>
                <w:szCs w:val="18"/>
                <w:lang w:val="en-US" w:eastAsia="zh-CN" w:bidi="ar"/>
              </w:rPr>
              <w:t>房屋建筑工程</w:t>
            </w: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62D580F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建筑面积</w:t>
            </w: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1万㎡</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13A1C2F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鼓励配备</w:t>
            </w:r>
          </w:p>
        </w:tc>
        <w:tc>
          <w:tcPr>
            <w:tcW w:w="184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08A05D6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1人</w:t>
            </w:r>
          </w:p>
        </w:tc>
        <w:tc>
          <w:tcPr>
            <w:tcW w:w="2420" w:type="dxa"/>
            <w:vMerge w:val="restart"/>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0" w:type="dxa"/>
            </w:tcMar>
            <w:vAlign w:val="center"/>
          </w:tcPr>
          <w:p w14:paraId="2C6B728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1.建筑面积超过5万㎡的，每增加5万㎡至少增配1人。</w:t>
            </w:r>
            <w:r>
              <w:rPr>
                <w:rFonts w:hint="eastAsia" w:ascii="仿宋_GB2312" w:hAnsi="仿宋_GB2312" w:eastAsia="仿宋_GB2312" w:cs="仿宋_GB2312"/>
                <w:kern w:val="0"/>
                <w:sz w:val="18"/>
                <w:szCs w:val="18"/>
                <w:lang w:val="en-US" w:eastAsia="zh-CN" w:bidi="ar"/>
              </w:rPr>
              <w:br w:type="textWrapping"/>
            </w:r>
            <w:r>
              <w:rPr>
                <w:rFonts w:hint="eastAsia" w:ascii="仿宋_GB2312" w:hAnsi="仿宋_GB2312" w:eastAsia="仿宋_GB2312" w:cs="仿宋_GB2312"/>
                <w:kern w:val="0"/>
                <w:sz w:val="18"/>
                <w:szCs w:val="18"/>
                <w:lang w:val="en-US" w:eastAsia="zh-CN" w:bidi="ar"/>
              </w:rPr>
              <w:t>2.涉及建筑起重机械的，须至少增配1名机械类（C1）专职安全员。</w:t>
            </w:r>
          </w:p>
        </w:tc>
      </w:tr>
      <w:tr w14:paraId="52C2C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5" w:type="dxa"/>
            <w:vMerge w:val="continue"/>
            <w:tcBorders>
              <w:top w:val="single" w:color="auto" w:sz="4" w:space="0"/>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5644276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241CCAD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1万㎡&lt;建筑面积</w:t>
            </w: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5万㎡</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76A522C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鼓励配备</w:t>
            </w:r>
          </w:p>
        </w:tc>
        <w:tc>
          <w:tcPr>
            <w:tcW w:w="184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39BED2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2人</w:t>
            </w:r>
          </w:p>
        </w:tc>
        <w:tc>
          <w:tcPr>
            <w:tcW w:w="2420" w:type="dxa"/>
            <w:vMerge w:val="continue"/>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0" w:type="dxa"/>
            </w:tcMar>
            <w:vAlign w:val="center"/>
          </w:tcPr>
          <w:p w14:paraId="7453245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rPr>
            </w:pPr>
          </w:p>
        </w:tc>
      </w:tr>
      <w:tr w14:paraId="31CBC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5" w:type="dxa"/>
            <w:vMerge w:val="continue"/>
            <w:tcBorders>
              <w:top w:val="single" w:color="auto" w:sz="4" w:space="0"/>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3D70C41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0EFB3B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5万㎡&lt;建筑面积&lt;10万</w:t>
            </w:r>
            <w:r>
              <w:rPr>
                <w:rFonts w:hint="eastAsia" w:ascii="方正仿宋_GBK" w:hAnsi="方正仿宋_GBK" w:eastAsia="方正仿宋_GBK" w:cs="方正仿宋_GBK"/>
                <w:kern w:val="0"/>
                <w:sz w:val="18"/>
                <w:szCs w:val="18"/>
                <w:lang w:val="en-US" w:eastAsia="zh-CN" w:bidi="ar"/>
              </w:rPr>
              <w:t>㎡</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4509EB5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鼓励配备</w:t>
            </w:r>
          </w:p>
        </w:tc>
        <w:tc>
          <w:tcPr>
            <w:tcW w:w="184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1FF698E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default" w:ascii="Arial" w:hAnsi="Arial" w:eastAsia="仿宋_GB2312" w:cs="Arial"/>
                <w:color w:val="auto"/>
                <w:kern w:val="0"/>
                <w:sz w:val="18"/>
                <w:szCs w:val="18"/>
                <w:lang w:val="en-US" w:eastAsia="zh-CN" w:bidi="ar"/>
              </w:rPr>
              <w:t>≥</w:t>
            </w:r>
            <w:r>
              <w:rPr>
                <w:rFonts w:hint="eastAsia" w:ascii="仿宋_GB2312" w:hAnsi="仿宋_GB2312" w:eastAsia="仿宋_GB2312" w:cs="仿宋_GB2312"/>
                <w:color w:val="auto"/>
                <w:kern w:val="0"/>
                <w:sz w:val="18"/>
                <w:szCs w:val="18"/>
                <w:lang w:val="en-US" w:eastAsia="zh-CN" w:bidi="ar"/>
              </w:rPr>
              <w:t>3人</w:t>
            </w:r>
          </w:p>
        </w:tc>
        <w:tc>
          <w:tcPr>
            <w:tcW w:w="2420" w:type="dxa"/>
            <w:vMerge w:val="continue"/>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0" w:type="dxa"/>
            </w:tcMar>
            <w:vAlign w:val="center"/>
          </w:tcPr>
          <w:p w14:paraId="7F3D3AD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rPr>
            </w:pPr>
          </w:p>
        </w:tc>
      </w:tr>
      <w:tr w14:paraId="44F0C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5" w:type="dxa"/>
            <w:vMerge w:val="continue"/>
            <w:tcBorders>
              <w:top w:val="single" w:color="auto" w:sz="4" w:space="0"/>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0702926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6193C81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建筑面积</w:t>
            </w: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10万</w:t>
            </w:r>
            <w:r>
              <w:rPr>
                <w:rFonts w:hint="eastAsia" w:ascii="方正仿宋_GBK" w:hAnsi="方正仿宋_GBK" w:eastAsia="方正仿宋_GBK" w:cs="方正仿宋_GBK"/>
                <w:kern w:val="0"/>
                <w:sz w:val="18"/>
                <w:szCs w:val="18"/>
                <w:lang w:val="en-US" w:eastAsia="zh-CN" w:bidi="ar"/>
              </w:rPr>
              <w:t>㎡</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39D0227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Style w:val="8"/>
                <w:rFonts w:hint="eastAsia" w:ascii="仿宋_GB2312" w:hAnsi="仿宋_GB2312" w:eastAsia="仿宋_GB2312" w:cs="仿宋_GB2312"/>
                <w:b/>
                <w:bCs/>
                <w:kern w:val="0"/>
                <w:sz w:val="18"/>
                <w:szCs w:val="18"/>
                <w:lang w:val="en-US" w:eastAsia="zh-CN" w:bidi="ar"/>
              </w:rPr>
              <w:t>必须配备</w:t>
            </w:r>
          </w:p>
        </w:tc>
        <w:tc>
          <w:tcPr>
            <w:tcW w:w="184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26EC618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default" w:ascii="Arial" w:hAnsi="Arial" w:eastAsia="仿宋_GB2312" w:cs="Arial"/>
                <w:kern w:val="0"/>
                <w:sz w:val="18"/>
                <w:szCs w:val="18"/>
                <w:lang w:val="en-US" w:eastAsia="zh-CN" w:bidi="ar"/>
              </w:rPr>
            </w:pP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4人,面积每增加1万</w:t>
            </w:r>
            <w:r>
              <w:rPr>
                <w:rFonts w:hint="eastAsia" w:ascii="方正仿宋_GBK" w:hAnsi="方正仿宋_GBK" w:eastAsia="方正仿宋_GBK" w:cs="方正仿宋_GBK"/>
                <w:kern w:val="0"/>
                <w:sz w:val="18"/>
                <w:szCs w:val="18"/>
                <w:lang w:val="en-US" w:eastAsia="zh-CN" w:bidi="ar"/>
              </w:rPr>
              <w:t>㎡</w:t>
            </w:r>
            <w:r>
              <w:rPr>
                <w:rFonts w:hint="eastAsia" w:ascii="仿宋_GB2312" w:hAnsi="仿宋_GB2312" w:eastAsia="仿宋_GB2312" w:cs="仿宋_GB2312"/>
                <w:kern w:val="0"/>
                <w:sz w:val="18"/>
                <w:szCs w:val="18"/>
                <w:lang w:val="en-US" w:eastAsia="zh-CN" w:bidi="ar"/>
              </w:rPr>
              <w:t>，增配1人</w:t>
            </w:r>
          </w:p>
        </w:tc>
        <w:tc>
          <w:tcPr>
            <w:tcW w:w="2420" w:type="dxa"/>
            <w:vMerge w:val="continue"/>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0" w:type="dxa"/>
            </w:tcMar>
            <w:vAlign w:val="center"/>
          </w:tcPr>
          <w:p w14:paraId="469AB14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rPr>
            </w:pPr>
          </w:p>
        </w:tc>
      </w:tr>
      <w:tr w14:paraId="75567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5" w:type="dxa"/>
            <w:vMerge w:val="restart"/>
            <w:tcBorders>
              <w:top w:val="single" w:color="auto" w:sz="4" w:space="0"/>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7063946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Style w:val="8"/>
                <w:rFonts w:hint="eastAsia" w:ascii="仿宋_GB2312" w:hAnsi="仿宋_GB2312" w:eastAsia="仿宋_GB2312" w:cs="仿宋_GB2312"/>
                <w:b w:val="0"/>
                <w:bCs w:val="0"/>
                <w:kern w:val="0"/>
                <w:sz w:val="18"/>
                <w:szCs w:val="18"/>
                <w:lang w:val="en-US" w:eastAsia="zh-CN" w:bidi="ar"/>
              </w:rPr>
              <w:t>市政基础设施工程</w:t>
            </w: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47333F1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合同价</w:t>
            </w: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5000万元</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1F01D5B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鼓励配备</w:t>
            </w:r>
          </w:p>
        </w:tc>
        <w:tc>
          <w:tcPr>
            <w:tcW w:w="184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08EED48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1人</w:t>
            </w:r>
          </w:p>
        </w:tc>
        <w:tc>
          <w:tcPr>
            <w:tcW w:w="2420" w:type="dxa"/>
            <w:vMerge w:val="restart"/>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0" w:type="dxa"/>
            </w:tcMar>
            <w:vAlign w:val="center"/>
          </w:tcPr>
          <w:p w14:paraId="3666167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1.合同价超过2亿元部分，每增加2亿元至少增配1人。</w:t>
            </w:r>
            <w:r>
              <w:rPr>
                <w:rFonts w:hint="eastAsia" w:ascii="仿宋_GB2312" w:hAnsi="仿宋_GB2312" w:eastAsia="仿宋_GB2312" w:cs="仿宋_GB2312"/>
                <w:kern w:val="0"/>
                <w:sz w:val="18"/>
                <w:szCs w:val="18"/>
                <w:lang w:val="en-US" w:eastAsia="zh-CN" w:bidi="ar"/>
              </w:rPr>
              <w:br w:type="textWrapping"/>
            </w:r>
            <w:r>
              <w:rPr>
                <w:rFonts w:hint="eastAsia" w:ascii="仿宋_GB2312" w:hAnsi="仿宋_GB2312" w:eastAsia="仿宋_GB2312" w:cs="仿宋_GB2312"/>
                <w:kern w:val="0"/>
                <w:sz w:val="18"/>
                <w:szCs w:val="18"/>
                <w:lang w:val="en-US" w:eastAsia="zh-CN" w:bidi="ar"/>
              </w:rPr>
              <w:t>2.涉及建筑起重机械的，须至少增配1名机械类（C1）专职安全员。</w:t>
            </w:r>
          </w:p>
        </w:tc>
      </w:tr>
      <w:tr w14:paraId="6B781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5" w:type="dxa"/>
            <w:vMerge w:val="continue"/>
            <w:tcBorders>
              <w:top w:val="single" w:color="auto" w:sz="4" w:space="0"/>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7FA733D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402CC34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5000万元&lt;合同价</w:t>
            </w: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2亿元</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27C0FF0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鼓励配备</w:t>
            </w:r>
          </w:p>
        </w:tc>
        <w:tc>
          <w:tcPr>
            <w:tcW w:w="184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6BC2F0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2人</w:t>
            </w:r>
          </w:p>
        </w:tc>
        <w:tc>
          <w:tcPr>
            <w:tcW w:w="2420" w:type="dxa"/>
            <w:vMerge w:val="continue"/>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0" w:type="dxa"/>
            </w:tcMar>
            <w:vAlign w:val="center"/>
          </w:tcPr>
          <w:p w14:paraId="74DA2D1F">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sz w:val="18"/>
                <w:szCs w:val="18"/>
              </w:rPr>
            </w:pPr>
          </w:p>
        </w:tc>
      </w:tr>
      <w:tr w14:paraId="51EDA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5" w:type="dxa"/>
            <w:vMerge w:val="continue"/>
            <w:tcBorders>
              <w:top w:val="single" w:color="auto" w:sz="4" w:space="0"/>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2903F2D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3ADF2D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2亿元&lt;合同价&lt;4亿元</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17A9AED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鼓励配备</w:t>
            </w:r>
          </w:p>
        </w:tc>
        <w:tc>
          <w:tcPr>
            <w:tcW w:w="184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71C32E2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default" w:ascii="Arial" w:hAnsi="Arial" w:eastAsia="仿宋_GB2312" w:cs="Arial"/>
                <w:kern w:val="0"/>
                <w:sz w:val="18"/>
                <w:szCs w:val="18"/>
                <w:lang w:val="en-US" w:eastAsia="zh-CN" w:bidi="ar"/>
              </w:rPr>
            </w:pP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3人</w:t>
            </w:r>
          </w:p>
        </w:tc>
        <w:tc>
          <w:tcPr>
            <w:tcW w:w="2420" w:type="dxa"/>
            <w:vMerge w:val="continue"/>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0" w:type="dxa"/>
            </w:tcMar>
            <w:vAlign w:val="center"/>
          </w:tcPr>
          <w:p w14:paraId="33FA3D6F">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sz w:val="18"/>
                <w:szCs w:val="18"/>
              </w:rPr>
            </w:pPr>
          </w:p>
        </w:tc>
      </w:tr>
      <w:tr w14:paraId="323F8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5" w:type="dxa"/>
            <w:vMerge w:val="continue"/>
            <w:tcBorders>
              <w:top w:val="single" w:color="auto" w:sz="4" w:space="0"/>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0D48532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394865C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合同价</w:t>
            </w: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4亿元</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2C00C8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0"/>
                <w:sz w:val="18"/>
                <w:szCs w:val="18"/>
                <w:lang w:val="en-US" w:eastAsia="zh-CN" w:bidi="ar"/>
              </w:rPr>
            </w:pPr>
            <w:r>
              <w:rPr>
                <w:rStyle w:val="8"/>
                <w:rFonts w:hint="eastAsia" w:ascii="仿宋_GB2312" w:hAnsi="仿宋_GB2312" w:eastAsia="仿宋_GB2312" w:cs="仿宋_GB2312"/>
                <w:b/>
                <w:bCs/>
                <w:kern w:val="0"/>
                <w:sz w:val="18"/>
                <w:szCs w:val="18"/>
                <w:lang w:val="en-US" w:eastAsia="zh-CN" w:bidi="ar"/>
              </w:rPr>
              <w:t>必须配备</w:t>
            </w:r>
          </w:p>
        </w:tc>
        <w:tc>
          <w:tcPr>
            <w:tcW w:w="184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4912F66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default" w:ascii="Arial" w:hAnsi="Arial" w:eastAsia="仿宋_GB2312" w:cs="Arial"/>
                <w:kern w:val="0"/>
                <w:sz w:val="18"/>
                <w:szCs w:val="18"/>
                <w:lang w:val="en-US" w:eastAsia="zh-CN" w:bidi="ar"/>
              </w:rPr>
            </w:pP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3人,合同价每增加5000万元，增配1人</w:t>
            </w:r>
          </w:p>
        </w:tc>
        <w:tc>
          <w:tcPr>
            <w:tcW w:w="2420" w:type="dxa"/>
            <w:vMerge w:val="continue"/>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0" w:type="dxa"/>
            </w:tcMar>
            <w:vAlign w:val="center"/>
          </w:tcPr>
          <w:p w14:paraId="387F88E3">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sz w:val="18"/>
                <w:szCs w:val="18"/>
              </w:rPr>
            </w:pPr>
          </w:p>
        </w:tc>
      </w:tr>
      <w:tr w14:paraId="7BA3D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5" w:type="dxa"/>
            <w:vMerge w:val="restart"/>
            <w:tcBorders>
              <w:top w:val="single" w:color="auto" w:sz="4" w:space="0"/>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7D5CD4C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Style w:val="8"/>
                <w:rFonts w:hint="eastAsia" w:ascii="仿宋_GB2312" w:hAnsi="仿宋_GB2312" w:eastAsia="仿宋_GB2312" w:cs="仿宋_GB2312"/>
                <w:b w:val="0"/>
                <w:bCs w:val="0"/>
                <w:kern w:val="0"/>
                <w:sz w:val="18"/>
                <w:szCs w:val="18"/>
                <w:lang w:val="en-US" w:eastAsia="zh-CN" w:bidi="ar"/>
              </w:rPr>
            </w:pPr>
            <w:r>
              <w:rPr>
                <w:rStyle w:val="8"/>
                <w:rFonts w:hint="eastAsia" w:ascii="仿宋_GB2312" w:hAnsi="仿宋_GB2312" w:eastAsia="仿宋_GB2312" w:cs="仿宋_GB2312"/>
                <w:b w:val="0"/>
                <w:bCs w:val="0"/>
                <w:kern w:val="0"/>
                <w:sz w:val="18"/>
                <w:szCs w:val="18"/>
                <w:lang w:val="en-US" w:eastAsia="zh-CN" w:bidi="ar"/>
              </w:rPr>
              <w:t>特殊</w:t>
            </w:r>
          </w:p>
          <w:p w14:paraId="1D89267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Style w:val="8"/>
                <w:rFonts w:hint="eastAsia" w:ascii="仿宋_GB2312" w:hAnsi="仿宋_GB2312" w:eastAsia="仿宋_GB2312" w:cs="仿宋_GB2312"/>
                <w:b w:val="0"/>
                <w:bCs w:val="0"/>
                <w:kern w:val="0"/>
                <w:sz w:val="18"/>
                <w:szCs w:val="18"/>
                <w:lang w:val="en-US" w:eastAsia="zh-CN" w:bidi="ar"/>
              </w:rPr>
              <w:t>工程</w:t>
            </w: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0A99483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隧道、城市轨道交通工程累积长度</w:t>
            </w: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4千米</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7B888A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Style w:val="8"/>
                <w:rFonts w:hint="eastAsia" w:ascii="仿宋_GB2312" w:hAnsi="仿宋_GB2312" w:eastAsia="仿宋_GB2312" w:cs="仿宋_GB2312"/>
                <w:b/>
                <w:bCs/>
                <w:kern w:val="0"/>
                <w:sz w:val="18"/>
                <w:szCs w:val="18"/>
                <w:lang w:val="en-US" w:eastAsia="zh-CN" w:bidi="ar"/>
              </w:rPr>
              <w:t>必须配备</w:t>
            </w:r>
          </w:p>
        </w:tc>
        <w:tc>
          <w:tcPr>
            <w:tcW w:w="1845" w:type="dxa"/>
            <w:vMerge w:val="restart"/>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079992A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val="0"/>
                <w:bCs w:val="0"/>
                <w:kern w:val="0"/>
                <w:sz w:val="18"/>
                <w:szCs w:val="18"/>
                <w:lang w:val="en-US" w:eastAsia="zh-CN" w:bidi="ar"/>
              </w:rPr>
              <w:t>在对应类别标准基础上</w:t>
            </w:r>
            <w:r>
              <w:rPr>
                <w:rStyle w:val="8"/>
                <w:rFonts w:hint="eastAsia" w:ascii="仿宋_GB2312" w:hAnsi="仿宋_GB2312" w:eastAsia="仿宋_GB2312" w:cs="仿宋_GB2312"/>
                <w:b w:val="0"/>
                <w:bCs w:val="0"/>
                <w:kern w:val="0"/>
                <w:sz w:val="18"/>
                <w:szCs w:val="18"/>
                <w:lang w:val="en-US" w:eastAsia="zh-CN" w:bidi="ar"/>
              </w:rPr>
              <w:t>至少增加1人</w:t>
            </w:r>
          </w:p>
        </w:tc>
        <w:tc>
          <w:tcPr>
            <w:tcW w:w="2420" w:type="dxa"/>
            <w:vMerge w:val="restart"/>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0" w:type="dxa"/>
            </w:tcMar>
            <w:vAlign w:val="center"/>
          </w:tcPr>
          <w:p w14:paraId="430A7BA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企业应根据实际施工组织难度和危险源数量评估后增加配备。</w:t>
            </w:r>
          </w:p>
        </w:tc>
      </w:tr>
      <w:tr w14:paraId="3BC71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5" w:type="dxa"/>
            <w:vMerge w:val="continue"/>
            <w:tcBorders>
              <w:top w:val="single" w:color="auto" w:sz="4" w:space="0"/>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5734B7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Style w:val="8"/>
                <w:rFonts w:hint="eastAsia" w:ascii="仿宋_GB2312" w:hAnsi="仿宋_GB2312" w:eastAsia="仿宋_GB2312" w:cs="仿宋_GB2312"/>
                <w:b/>
                <w:bCs/>
                <w:kern w:val="0"/>
                <w:sz w:val="18"/>
                <w:szCs w:val="18"/>
                <w:lang w:val="en-US" w:eastAsia="zh-CN" w:bidi="ar"/>
              </w:rPr>
            </w:pP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5EA9A8A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其他特殊工程（如超高</w:t>
            </w:r>
            <w:r>
              <w:rPr>
                <w:rFonts w:hint="eastAsia" w:ascii="宋体" w:hAnsi="宋体" w:eastAsia="宋体" w:cs="宋体"/>
                <w:kern w:val="0"/>
                <w:sz w:val="18"/>
                <w:szCs w:val="18"/>
                <w:lang w:val="en-US" w:eastAsia="zh-CN" w:bidi="ar"/>
              </w:rPr>
              <w:t>/</w:t>
            </w:r>
            <w:r>
              <w:rPr>
                <w:rFonts w:hint="eastAsia" w:ascii="仿宋_GB2312" w:hAnsi="仿宋_GB2312" w:eastAsia="仿宋_GB2312" w:cs="仿宋_GB2312"/>
                <w:kern w:val="0"/>
                <w:sz w:val="18"/>
                <w:szCs w:val="18"/>
                <w:lang w:val="en-US" w:eastAsia="zh-CN" w:bidi="ar"/>
              </w:rPr>
              <w:t>超限结构、采用“四新”技术等）</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59ABAB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Style w:val="8"/>
                <w:rFonts w:hint="eastAsia" w:ascii="仿宋_GB2312" w:hAnsi="仿宋_GB2312" w:eastAsia="仿宋_GB2312" w:cs="仿宋_GB2312"/>
                <w:b/>
                <w:bCs/>
                <w:kern w:val="0"/>
                <w:sz w:val="18"/>
                <w:szCs w:val="18"/>
                <w:lang w:val="en-US" w:eastAsia="zh-CN" w:bidi="ar"/>
              </w:rPr>
            </w:pPr>
            <w:r>
              <w:rPr>
                <w:rStyle w:val="8"/>
                <w:rFonts w:hint="eastAsia" w:ascii="仿宋_GB2312" w:hAnsi="仿宋_GB2312" w:eastAsia="仿宋_GB2312" w:cs="仿宋_GB2312"/>
                <w:b/>
                <w:bCs/>
                <w:kern w:val="0"/>
                <w:sz w:val="18"/>
                <w:szCs w:val="18"/>
                <w:lang w:val="en-US" w:eastAsia="zh-CN" w:bidi="ar"/>
              </w:rPr>
              <w:t>必须配备</w:t>
            </w:r>
          </w:p>
        </w:tc>
        <w:tc>
          <w:tcPr>
            <w:tcW w:w="1845" w:type="dxa"/>
            <w:vMerge w:val="continue"/>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582FF7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18"/>
                <w:szCs w:val="18"/>
                <w:lang w:val="en-US" w:eastAsia="zh-CN" w:bidi="ar"/>
              </w:rPr>
            </w:pPr>
          </w:p>
        </w:tc>
        <w:tc>
          <w:tcPr>
            <w:tcW w:w="2420" w:type="dxa"/>
            <w:vMerge w:val="continue"/>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0" w:type="dxa"/>
            </w:tcMar>
            <w:vAlign w:val="center"/>
          </w:tcPr>
          <w:p w14:paraId="213961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18"/>
                <w:szCs w:val="18"/>
                <w:lang w:val="en-US" w:eastAsia="zh-CN" w:bidi="ar"/>
              </w:rPr>
            </w:pPr>
          </w:p>
        </w:tc>
      </w:tr>
      <w:tr w14:paraId="0C2CA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466" w:type="dxa"/>
            <w:gridSpan w:val="5"/>
            <w:tcBorders>
              <w:top w:val="single" w:color="auto" w:sz="4" w:space="0"/>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6F0EF70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注：</w:t>
            </w:r>
            <w:r>
              <w:rPr>
                <w:rFonts w:hint="eastAsia" w:ascii="仿宋_GB2312" w:hAnsi="仿宋_GB2312" w:eastAsia="仿宋_GB2312" w:cs="仿宋_GB2312"/>
                <w:b/>
                <w:bCs/>
                <w:kern w:val="0"/>
                <w:sz w:val="18"/>
                <w:szCs w:val="18"/>
                <w:lang w:val="en-US" w:eastAsia="zh-CN" w:bidi="ar"/>
              </w:rPr>
              <w:t>1.所有项目，若施工现场管理人员和施工人员峰值超过500人的，必须配备安全总监。</w:t>
            </w:r>
          </w:p>
          <w:p w14:paraId="439217F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 xml:space="preserve">    2.配备项目安全总监的，应同时设置独立的项目安全生产管理机构。</w:t>
            </w:r>
          </w:p>
          <w:p w14:paraId="0E19DE2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 xml:space="preserve">    3.鼓励企业根据安全风险、工期进度、项目重要性等因素，对未达到上述必须配备安全总监的项目，主动配备安全总监。</w:t>
            </w:r>
          </w:p>
        </w:tc>
      </w:tr>
    </w:tbl>
    <w:p w14:paraId="4BC1162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项目专职安全生产管理人员实行企业委派制，其人事关系、薪酬发放、考核奖惩由企业总部直接管理，接受企业安全生产管理机构的业务领导与监督，定期汇报项目安全状况。</w:t>
      </w:r>
    </w:p>
    <w:p w14:paraId="20C88BE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项目进行建筑起重机械安拆、使用等作业时，施工现场必须确保有专人固定负责该设备的专项安全管理。办理建筑起重机械使用登记时，应核查该项目是否配备至少1名持有机械类（C1）安全生产考核合格证书的专职安全生产管理人员，保障其对机械设备危险源识别、风险管控和隐患排查的专业性与专注性。</w:t>
      </w:r>
    </w:p>
    <w:p w14:paraId="3489DA6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监督管理</w:t>
      </w:r>
    </w:p>
    <w:p w14:paraId="2346D8E0">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各级住房城乡建设主管部门在核发施工许可证、安全生产许可证及开展日常监督、安全标准化考评时，必须严格审查企业和项目安全生产管理机构设置、人员配备及持证上岗情况，对不符合要求的，依法责令整改或处罚。</w:t>
      </w:r>
    </w:p>
    <w:p w14:paraId="0FFD4F8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第十六条</w:t>
      </w:r>
      <w:r>
        <w:rPr>
          <w:rFonts w:hint="eastAsia" w:ascii="仿宋_GB2312" w:hAnsi="仿宋_GB2312" w:eastAsia="仿宋_GB2312" w:cs="仿宋_GB2312"/>
          <w:sz w:val="32"/>
          <w:szCs w:val="32"/>
          <w:lang w:val="en-US" w:eastAsia="zh-CN"/>
        </w:rPr>
        <w:t xml:space="preserve"> 企业及项目专职安全生产管理人员的履职情况，应纳入西藏自治区房屋市政工程安全生产管理人员信用管理体系。各级住房城乡建设主管部门应依据《西藏自治区房屋市政工程安全生产管理人员信用管理措施》对相关人员的不良行为实施信用扣分、等级评定及联合惩戒。安全生产管理人员信用评价结果可作为企业安全生产许可证动态核查、项目标准化考评的重要参考。</w:t>
      </w:r>
    </w:p>
    <w:p w14:paraId="30B0F46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强化平台应用，将项目安全生产管理行为纳入数字化监管。</w:t>
      </w:r>
    </w:p>
    <w:p w14:paraId="4A408A8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项目专职安全生产管理人员必须严格执行《办法》第三十三条、第三十四条关于佩戴安全生产检查记录仪、填写施工安全日志的规定。检查视频原始资料与安全日志须每日同步上传至平台。</w:t>
      </w:r>
    </w:p>
    <w:p w14:paraId="506C402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平台对连续2天未上传检查视频和安全日志的项目进行自动提醒</w:t>
      </w:r>
      <w:r>
        <w:rPr>
          <w:rFonts w:hint="eastAsia" w:ascii="仿宋_GB2312" w:hAnsi="仿宋_GB2312" w:eastAsia="仿宋_GB2312" w:cs="仿宋_GB2312"/>
          <w:sz w:val="32"/>
          <w:szCs w:val="32"/>
          <w:lang w:eastAsia="zh-CN"/>
        </w:rPr>
        <w:t>，并记录在案</w:t>
      </w:r>
      <w:r>
        <w:rPr>
          <w:rFonts w:hint="eastAsia" w:ascii="仿宋_GB2312" w:hAnsi="仿宋_GB2312" w:eastAsia="仿宋_GB2312" w:cs="仿宋_GB2312"/>
          <w:sz w:val="32"/>
          <w:szCs w:val="32"/>
        </w:rPr>
        <w:t>；连续3天未上传的，系统</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自动预警，并将该预警信息推送至项目属地监督机构</w:t>
      </w:r>
      <w:r>
        <w:rPr>
          <w:rFonts w:hint="eastAsia" w:ascii="仿宋_GB2312" w:hAnsi="仿宋_GB2312" w:eastAsia="仿宋_GB2312" w:cs="仿宋_GB2312"/>
          <w:sz w:val="32"/>
          <w:szCs w:val="32"/>
          <w:lang w:eastAsia="zh-CN"/>
        </w:rPr>
        <w:t>，实施差异化重点监管</w:t>
      </w:r>
      <w:r>
        <w:rPr>
          <w:rFonts w:hint="eastAsia" w:ascii="仿宋_GB2312" w:hAnsi="仿宋_GB2312" w:eastAsia="仿宋_GB2312" w:cs="仿宋_GB2312"/>
          <w:sz w:val="32"/>
          <w:szCs w:val="32"/>
        </w:rPr>
        <w:t>。</w:t>
      </w:r>
    </w:p>
    <w:p w14:paraId="0D0D2D2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被预警的项目，</w:t>
      </w:r>
      <w:r>
        <w:rPr>
          <w:rFonts w:hint="eastAsia" w:ascii="仿宋_GB2312" w:hAnsi="仿宋_GB2312" w:eastAsia="仿宋_GB2312" w:cs="仿宋_GB2312"/>
          <w:sz w:val="32"/>
          <w:szCs w:val="32"/>
          <w:lang w:eastAsia="zh-CN"/>
        </w:rPr>
        <w:t>视同</w:t>
      </w:r>
      <w:r>
        <w:rPr>
          <w:rFonts w:hint="eastAsia" w:ascii="仿宋_GB2312" w:hAnsi="仿宋_GB2312" w:eastAsia="仿宋_GB2312" w:cs="仿宋_GB2312"/>
          <w:sz w:val="32"/>
          <w:szCs w:val="32"/>
        </w:rPr>
        <w:t>其所属企业专职安全生产管理人员</w:t>
      </w:r>
      <w:r>
        <w:rPr>
          <w:rFonts w:hint="eastAsia" w:ascii="仿宋_GB2312" w:hAnsi="仿宋_GB2312" w:eastAsia="仿宋_GB2312" w:cs="仿宋_GB2312"/>
          <w:sz w:val="32"/>
          <w:szCs w:val="32"/>
          <w:lang w:eastAsia="zh-CN"/>
        </w:rPr>
        <w:t>未到岗履职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由平台将数据实时推送至西藏自治区建筑市场监管公共服务平台，</w:t>
      </w:r>
      <w:r>
        <w:rPr>
          <w:rFonts w:hint="eastAsia" w:ascii="仿宋_GB2312" w:hAnsi="仿宋_GB2312" w:eastAsia="仿宋_GB2312" w:cs="仿宋_GB2312"/>
          <w:sz w:val="32"/>
          <w:szCs w:val="32"/>
        </w:rPr>
        <w:t>依据《西藏自治区建筑市场信用管理办法》</w:t>
      </w:r>
      <w:r>
        <w:rPr>
          <w:rFonts w:hint="eastAsia" w:ascii="仿宋_GB2312" w:hAnsi="仿宋_GB2312" w:eastAsia="仿宋_GB2312" w:cs="仿宋_GB2312"/>
          <w:sz w:val="32"/>
          <w:szCs w:val="32"/>
          <w:lang w:eastAsia="zh-CN"/>
        </w:rPr>
        <w:t>分别对企业和相关人员</w:t>
      </w:r>
      <w:r>
        <w:rPr>
          <w:rFonts w:hint="eastAsia" w:ascii="仿宋_GB2312" w:hAnsi="仿宋_GB2312" w:eastAsia="仿宋_GB2312" w:cs="仿宋_GB2312"/>
          <w:sz w:val="32"/>
          <w:szCs w:val="32"/>
        </w:rPr>
        <w:t>实施信用扣分。</w:t>
      </w:r>
    </w:p>
    <w:p w14:paraId="30EDE2F2">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对检查中发现项目存在重大事故隐患拒不整改、安全生产管理人员长期脱岗、履职不力等情形的，应依法严肃查处。涉嫌构成《中华人民共和国刑法》第一百三十四条之二危险作业罪等犯罪的，依法移送司法机关追究刑事责任。</w:t>
      </w:r>
    </w:p>
    <w:p w14:paraId="75833C7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自治区建筑施工企业安全生产管理人员的安全生产考核合格证书实行分类管理。持原统一核发的综合类（</w:t>
      </w:r>
      <w:r>
        <w:rPr>
          <w:rFonts w:hint="eastAsia" w:ascii="仿宋_GB2312" w:hAnsi="仿宋_GB2312" w:eastAsia="仿宋_GB2312" w:cs="仿宋_GB2312"/>
          <w:sz w:val="32"/>
          <w:szCs w:val="32"/>
          <w:lang w:val="en-US" w:eastAsia="zh-CN"/>
        </w:rPr>
        <w:t>C3</w:t>
      </w:r>
      <w:r>
        <w:rPr>
          <w:rFonts w:hint="eastAsia" w:ascii="仿宋_GB2312" w:hAnsi="仿宋_GB2312" w:eastAsia="仿宋_GB2312" w:cs="仿宋_GB2312"/>
          <w:sz w:val="32"/>
          <w:szCs w:val="32"/>
          <w:lang w:eastAsia="zh-CN"/>
        </w:rPr>
        <w:t>）安全生产考核合格证书的人员，可按规定申请变更为机械类（</w:t>
      </w:r>
      <w:r>
        <w:rPr>
          <w:rFonts w:hint="eastAsia" w:ascii="仿宋_GB2312" w:hAnsi="仿宋_GB2312" w:eastAsia="仿宋_GB2312" w:cs="仿宋_GB2312"/>
          <w:sz w:val="32"/>
          <w:szCs w:val="32"/>
          <w:lang w:val="en-US" w:eastAsia="zh-CN"/>
        </w:rPr>
        <w:t>C1</w:t>
      </w:r>
      <w:r>
        <w:rPr>
          <w:rFonts w:hint="eastAsia" w:ascii="仿宋_GB2312" w:hAnsi="仿宋_GB2312" w:eastAsia="仿宋_GB2312" w:cs="仿宋_GB2312"/>
          <w:sz w:val="32"/>
          <w:szCs w:val="32"/>
          <w:lang w:eastAsia="zh-CN"/>
        </w:rPr>
        <w:t>）或土建类（</w:t>
      </w:r>
      <w:r>
        <w:rPr>
          <w:rFonts w:hint="eastAsia" w:ascii="仿宋_GB2312" w:hAnsi="仿宋_GB2312" w:eastAsia="仿宋_GB2312" w:cs="仿宋_GB2312"/>
          <w:sz w:val="32"/>
          <w:szCs w:val="32"/>
          <w:lang w:val="en-US" w:eastAsia="zh-CN"/>
        </w:rPr>
        <w:t>C2</w:t>
      </w:r>
      <w:r>
        <w:rPr>
          <w:rFonts w:hint="eastAsia" w:ascii="仿宋_GB2312" w:hAnsi="仿宋_GB2312" w:eastAsia="仿宋_GB2312" w:cs="仿宋_GB2312"/>
          <w:sz w:val="32"/>
          <w:szCs w:val="32"/>
          <w:lang w:eastAsia="zh-CN"/>
        </w:rPr>
        <w:t>）证书，且变更为</w:t>
      </w:r>
      <w:r>
        <w:rPr>
          <w:rFonts w:hint="eastAsia" w:ascii="仿宋_GB2312" w:hAnsi="仿宋_GB2312" w:eastAsia="仿宋_GB2312" w:cs="仿宋_GB2312"/>
          <w:sz w:val="32"/>
          <w:szCs w:val="32"/>
          <w:lang w:val="en-US" w:eastAsia="zh-CN"/>
        </w:rPr>
        <w:t>C1或C2类证书后，不得再次申请变更为综合类（C3）证书</w:t>
      </w:r>
      <w:r>
        <w:rPr>
          <w:rFonts w:hint="eastAsia" w:ascii="仿宋_GB2312" w:hAnsi="仿宋_GB2312" w:eastAsia="仿宋_GB2312" w:cs="仿宋_GB2312"/>
          <w:sz w:val="32"/>
          <w:szCs w:val="32"/>
          <w:lang w:eastAsia="zh-CN"/>
        </w:rPr>
        <w:t>。</w:t>
      </w:r>
    </w:p>
    <w:p w14:paraId="295F01C2">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自治区</w:t>
      </w:r>
      <w:r>
        <w:rPr>
          <w:rFonts w:hint="eastAsia" w:ascii="仿宋_GB2312" w:hAnsi="仿宋_GB2312" w:eastAsia="仿宋_GB2312" w:cs="仿宋_GB2312"/>
          <w:sz w:val="32"/>
          <w:szCs w:val="32"/>
          <w:lang w:eastAsia="zh-CN"/>
        </w:rPr>
        <w:t>建筑施工企业安全生产管理人员的安全生产考核合格证书实行分类管理，分为机械类（</w:t>
      </w:r>
      <w:r>
        <w:rPr>
          <w:rFonts w:hint="eastAsia" w:ascii="仿宋_GB2312" w:hAnsi="仿宋_GB2312" w:eastAsia="仿宋_GB2312" w:cs="仿宋_GB2312"/>
          <w:sz w:val="32"/>
          <w:szCs w:val="32"/>
          <w:lang w:val="en-US" w:eastAsia="zh-CN"/>
        </w:rPr>
        <w:t>C1</w:t>
      </w:r>
      <w:r>
        <w:rPr>
          <w:rFonts w:hint="eastAsia" w:ascii="仿宋_GB2312" w:hAnsi="仿宋_GB2312" w:eastAsia="仿宋_GB2312" w:cs="仿宋_GB2312"/>
          <w:sz w:val="32"/>
          <w:szCs w:val="32"/>
          <w:lang w:eastAsia="zh-CN"/>
        </w:rPr>
        <w:t>）、土建类（</w:t>
      </w:r>
      <w:r>
        <w:rPr>
          <w:rFonts w:hint="eastAsia" w:ascii="仿宋_GB2312" w:hAnsi="仿宋_GB2312" w:eastAsia="仿宋_GB2312" w:cs="仿宋_GB2312"/>
          <w:sz w:val="32"/>
          <w:szCs w:val="32"/>
          <w:lang w:val="en-US" w:eastAsia="zh-CN"/>
        </w:rPr>
        <w:t>C2</w:t>
      </w:r>
      <w:r>
        <w:rPr>
          <w:rFonts w:hint="eastAsia" w:ascii="仿宋_GB2312" w:hAnsi="仿宋_GB2312" w:eastAsia="仿宋_GB2312" w:cs="仿宋_GB2312"/>
          <w:sz w:val="32"/>
          <w:szCs w:val="32"/>
          <w:lang w:eastAsia="zh-CN"/>
        </w:rPr>
        <w:t>）和综合类（</w:t>
      </w:r>
      <w:r>
        <w:rPr>
          <w:rFonts w:hint="eastAsia" w:ascii="仿宋_GB2312" w:hAnsi="仿宋_GB2312" w:eastAsia="仿宋_GB2312" w:cs="仿宋_GB2312"/>
          <w:sz w:val="32"/>
          <w:szCs w:val="32"/>
          <w:lang w:val="en-US" w:eastAsia="zh-CN"/>
        </w:rPr>
        <w:t>C3</w:t>
      </w:r>
      <w:r>
        <w:rPr>
          <w:rFonts w:hint="eastAsia" w:ascii="仿宋_GB2312" w:hAnsi="仿宋_GB2312" w:eastAsia="仿宋_GB2312" w:cs="仿宋_GB2312"/>
          <w:sz w:val="32"/>
          <w:szCs w:val="32"/>
          <w:lang w:eastAsia="zh-CN"/>
        </w:rPr>
        <w:t>）。证书的取得、变更和升级应当符合下列规定：</w:t>
      </w:r>
    </w:p>
    <w:p w14:paraId="4FC6CBB2">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已取得综合类（</w:t>
      </w:r>
      <w:r>
        <w:rPr>
          <w:rFonts w:hint="eastAsia" w:ascii="仿宋_GB2312" w:hAnsi="仿宋_GB2312" w:eastAsia="仿宋_GB2312" w:cs="仿宋_GB2312"/>
          <w:sz w:val="32"/>
          <w:szCs w:val="32"/>
          <w:lang w:val="en-US" w:eastAsia="zh-CN"/>
        </w:rPr>
        <w:t>C3</w:t>
      </w:r>
      <w:r>
        <w:rPr>
          <w:rFonts w:hint="eastAsia" w:ascii="仿宋_GB2312" w:hAnsi="仿宋_GB2312" w:eastAsia="仿宋_GB2312" w:cs="仿宋_GB2312"/>
          <w:sz w:val="32"/>
          <w:szCs w:val="32"/>
          <w:lang w:eastAsia="zh-CN"/>
        </w:rPr>
        <w:t>）证书的人员，在满足建筑施工企业安全生产许可证相关条件的情况下，可根据需要申请变更为机械类（</w:t>
      </w:r>
      <w:r>
        <w:rPr>
          <w:rFonts w:hint="eastAsia" w:ascii="仿宋_GB2312" w:hAnsi="仿宋_GB2312" w:eastAsia="仿宋_GB2312" w:cs="仿宋_GB2312"/>
          <w:sz w:val="32"/>
          <w:szCs w:val="32"/>
          <w:lang w:val="en-US" w:eastAsia="zh-CN"/>
        </w:rPr>
        <w:t>C1</w:t>
      </w:r>
      <w:r>
        <w:rPr>
          <w:rFonts w:hint="eastAsia" w:ascii="仿宋_GB2312" w:hAnsi="仿宋_GB2312" w:eastAsia="仿宋_GB2312" w:cs="仿宋_GB2312"/>
          <w:sz w:val="32"/>
          <w:szCs w:val="32"/>
          <w:lang w:eastAsia="zh-CN"/>
        </w:rPr>
        <w:t>）或土建类（</w:t>
      </w:r>
      <w:r>
        <w:rPr>
          <w:rFonts w:hint="eastAsia" w:ascii="仿宋_GB2312" w:hAnsi="仿宋_GB2312" w:eastAsia="仿宋_GB2312" w:cs="仿宋_GB2312"/>
          <w:sz w:val="32"/>
          <w:szCs w:val="32"/>
          <w:lang w:val="en-US" w:eastAsia="zh-CN"/>
        </w:rPr>
        <w:t>C2</w:t>
      </w:r>
      <w:r>
        <w:rPr>
          <w:rFonts w:hint="eastAsia" w:ascii="仿宋_GB2312" w:hAnsi="仿宋_GB2312" w:eastAsia="仿宋_GB2312" w:cs="仿宋_GB2312"/>
          <w:sz w:val="32"/>
          <w:szCs w:val="32"/>
          <w:lang w:eastAsia="zh-CN"/>
        </w:rPr>
        <w:t>）证书；变更为</w:t>
      </w:r>
      <w:r>
        <w:rPr>
          <w:rFonts w:hint="eastAsia" w:ascii="仿宋_GB2312" w:hAnsi="仿宋_GB2312" w:eastAsia="仿宋_GB2312" w:cs="仿宋_GB2312"/>
          <w:sz w:val="32"/>
          <w:szCs w:val="32"/>
          <w:lang w:val="en-US" w:eastAsia="zh-CN"/>
        </w:rPr>
        <w:t>C1</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lang w:val="en-US" w:eastAsia="zh-CN"/>
        </w:rPr>
        <w:t>C2类证书后，不得再申请变更为</w:t>
      </w:r>
      <w:r>
        <w:rPr>
          <w:rFonts w:hint="eastAsia" w:ascii="仿宋_GB2312" w:hAnsi="仿宋_GB2312" w:eastAsia="仿宋_GB2312" w:cs="仿宋_GB2312"/>
          <w:sz w:val="32"/>
          <w:szCs w:val="32"/>
          <w:lang w:eastAsia="zh-CN"/>
        </w:rPr>
        <w:t>综合类（</w:t>
      </w:r>
      <w:r>
        <w:rPr>
          <w:rFonts w:hint="eastAsia" w:ascii="仿宋_GB2312" w:hAnsi="仿宋_GB2312" w:eastAsia="仿宋_GB2312" w:cs="仿宋_GB2312"/>
          <w:sz w:val="32"/>
          <w:szCs w:val="32"/>
          <w:lang w:val="en-US" w:eastAsia="zh-CN"/>
        </w:rPr>
        <w:t>C3</w:t>
      </w:r>
      <w:r>
        <w:rPr>
          <w:rFonts w:hint="eastAsia" w:ascii="仿宋_GB2312" w:hAnsi="仿宋_GB2312" w:eastAsia="仿宋_GB2312" w:cs="仿宋_GB2312"/>
          <w:sz w:val="32"/>
          <w:szCs w:val="32"/>
          <w:lang w:eastAsia="zh-CN"/>
        </w:rPr>
        <w:t>）证书。</w:t>
      </w:r>
    </w:p>
    <w:p w14:paraId="4BFE91A2">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（二）已持有</w:t>
      </w:r>
      <w:r>
        <w:rPr>
          <w:rFonts w:hint="eastAsia" w:ascii="仿宋_GB2312" w:hAnsi="仿宋_GB2312" w:eastAsia="仿宋_GB2312" w:cs="仿宋_GB2312"/>
          <w:sz w:val="32"/>
          <w:szCs w:val="32"/>
          <w:lang w:eastAsia="zh-CN"/>
        </w:rPr>
        <w:t>机械类（</w:t>
      </w:r>
      <w:r>
        <w:rPr>
          <w:rFonts w:hint="eastAsia" w:ascii="仿宋_GB2312" w:hAnsi="仿宋_GB2312" w:eastAsia="仿宋_GB2312" w:cs="仿宋_GB2312"/>
          <w:sz w:val="32"/>
          <w:szCs w:val="32"/>
          <w:lang w:val="en-US" w:eastAsia="zh-CN"/>
        </w:rPr>
        <w:t>C1</w:t>
      </w:r>
      <w:r>
        <w:rPr>
          <w:rFonts w:hint="eastAsia" w:ascii="仿宋_GB2312" w:hAnsi="仿宋_GB2312" w:eastAsia="仿宋_GB2312" w:cs="仿宋_GB2312"/>
          <w:sz w:val="32"/>
          <w:szCs w:val="32"/>
          <w:lang w:eastAsia="zh-CN"/>
        </w:rPr>
        <w:t>）或土建类（</w:t>
      </w:r>
      <w:r>
        <w:rPr>
          <w:rFonts w:hint="eastAsia" w:ascii="仿宋_GB2312" w:hAnsi="仿宋_GB2312" w:eastAsia="仿宋_GB2312" w:cs="仿宋_GB2312"/>
          <w:sz w:val="32"/>
          <w:szCs w:val="32"/>
          <w:lang w:val="en-US" w:eastAsia="zh-CN"/>
        </w:rPr>
        <w:t>C2</w:t>
      </w:r>
      <w:r>
        <w:rPr>
          <w:rFonts w:hint="eastAsia" w:ascii="仿宋_GB2312" w:hAnsi="仿宋_GB2312" w:eastAsia="仿宋_GB2312" w:cs="仿宋_GB2312"/>
          <w:sz w:val="32"/>
          <w:szCs w:val="32"/>
          <w:lang w:eastAsia="zh-CN"/>
        </w:rPr>
        <w:t>）其中一类证书的人员，通过另一类</w:t>
      </w:r>
      <w:r>
        <w:rPr>
          <w:rFonts w:hint="eastAsia" w:ascii="仿宋_GB2312" w:hAnsi="仿宋_GB2312" w:eastAsia="仿宋_GB2312" w:cs="仿宋_GB2312"/>
          <w:sz w:val="32"/>
          <w:szCs w:val="32"/>
          <w:lang w:val="en-US" w:eastAsia="zh-CN"/>
        </w:rPr>
        <w:t>C2或C1考核的，可申请升级为综合类（C3）证书。升级后的C3证书有效期截止日期沿用原已持有的C1或C2证书的有效期截止时间。</w:t>
      </w:r>
    </w:p>
    <w:p w14:paraId="65CD7FC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14:paraId="7E637281">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本细则由西藏自治区住房和城乡建设厅负责解释。</w:t>
      </w:r>
    </w:p>
    <w:p w14:paraId="423183F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本细则自</w:t>
      </w:r>
      <w:r>
        <w:rPr>
          <w:rFonts w:hint="eastAsia" w:ascii="仿宋_GB2312" w:hAnsi="仿宋_GB2312" w:eastAsia="仿宋_GB2312" w:cs="仿宋_GB2312"/>
          <w:sz w:val="32"/>
          <w:szCs w:val="32"/>
          <w:lang w:eastAsia="zh-CN"/>
        </w:rPr>
        <w:t>印发之日起满</w:t>
      </w:r>
      <w:r>
        <w:rPr>
          <w:rFonts w:hint="eastAsia" w:ascii="仿宋_GB2312" w:hAnsi="仿宋_GB2312" w:eastAsia="仿宋_GB2312" w:cs="仿宋_GB2312"/>
          <w:sz w:val="32"/>
          <w:szCs w:val="32"/>
          <w:lang w:val="en-US" w:eastAsia="zh-CN"/>
        </w:rPr>
        <w:t>1个月后</w:t>
      </w:r>
      <w:r>
        <w:rPr>
          <w:rFonts w:hint="eastAsia" w:ascii="仿宋_GB2312" w:hAnsi="仿宋_GB2312" w:eastAsia="仿宋_GB2312" w:cs="仿宋_GB2312"/>
          <w:sz w:val="32"/>
          <w:szCs w:val="32"/>
        </w:rPr>
        <w:t>施行。以往规定与本细则不一致的，以本细则为准。</w:t>
      </w:r>
    </w:p>
    <w:p w14:paraId="2954EDC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47105DD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西藏自治区房屋市政工程施工安全日志（范本）</w:t>
      </w:r>
    </w:p>
    <w:p w14:paraId="2DBC7B5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方正黑体_GBK" w:cs="方正黑体_GBK"/>
          <w:sz w:val="32"/>
          <w:szCs w:val="32"/>
          <w:lang w:eastAsia="zh-CN"/>
        </w:rPr>
      </w:pPr>
    </w:p>
    <w:p w14:paraId="4886D2DC">
      <w:pPr>
        <w:pStyle w:val="2"/>
        <w:keepNext w:val="0"/>
        <w:keepLines w:val="0"/>
        <w:pageBreakBefore w:val="0"/>
        <w:widowControl w:val="0"/>
        <w:kinsoku/>
        <w:wordWrap/>
        <w:overflowPunct/>
        <w:topLinePunct w:val="0"/>
        <w:autoSpaceDE/>
        <w:autoSpaceDN/>
        <w:bidi w:val="0"/>
        <w:adjustRightInd/>
        <w:snapToGrid/>
        <w:spacing w:after="0" w:line="576" w:lineRule="exact"/>
        <w:textAlignment w:val="auto"/>
        <w:rPr>
          <w:rFonts w:hint="eastAsia" w:ascii="Times New Roman" w:hAnsi="Times New Roman" w:eastAsia="方正黑体_GBK" w:cs="方正黑体_GBK"/>
          <w:sz w:val="32"/>
          <w:szCs w:val="32"/>
          <w:lang w:eastAsia="zh-CN"/>
        </w:rPr>
      </w:pPr>
    </w:p>
    <w:p w14:paraId="436DEF42">
      <w:pPr>
        <w:pStyle w:val="4"/>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方正黑体_GBK" w:cs="方正黑体_GBK"/>
          <w:sz w:val="32"/>
          <w:szCs w:val="32"/>
          <w:lang w:eastAsia="zh-CN"/>
        </w:rPr>
      </w:pPr>
    </w:p>
    <w:p w14:paraId="31138A7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方正黑体_GBK" w:cs="方正黑体_GBK"/>
          <w:sz w:val="32"/>
          <w:szCs w:val="32"/>
          <w:lang w:eastAsia="zh-CN"/>
        </w:rPr>
      </w:pPr>
    </w:p>
    <w:p w14:paraId="7869F74E">
      <w:pPr>
        <w:pStyle w:val="2"/>
        <w:rPr>
          <w:rFonts w:hint="eastAsia" w:ascii="Times New Roman" w:hAnsi="Times New Roman" w:eastAsia="方正黑体_GBK" w:cs="方正黑体_GBK"/>
          <w:sz w:val="32"/>
          <w:szCs w:val="32"/>
          <w:lang w:eastAsia="zh-CN"/>
        </w:rPr>
      </w:pPr>
    </w:p>
    <w:p w14:paraId="0B441BF0">
      <w:pPr>
        <w:pStyle w:val="4"/>
        <w:rPr>
          <w:rFonts w:hint="eastAsia" w:ascii="Times New Roman" w:hAnsi="Times New Roman" w:eastAsia="方正黑体_GBK" w:cs="方正黑体_GBK"/>
          <w:sz w:val="32"/>
          <w:szCs w:val="32"/>
          <w:lang w:eastAsia="zh-CN"/>
        </w:rPr>
      </w:pPr>
    </w:p>
    <w:p w14:paraId="3D221F11">
      <w:pPr>
        <w:rPr>
          <w:rFonts w:hint="eastAsia" w:ascii="Times New Roman" w:hAnsi="Times New Roman" w:eastAsia="方正黑体_GBK" w:cs="方正黑体_GBK"/>
          <w:sz w:val="32"/>
          <w:szCs w:val="32"/>
          <w:lang w:eastAsia="zh-CN"/>
        </w:rPr>
      </w:pPr>
    </w:p>
    <w:p w14:paraId="3151CB4A">
      <w:pPr>
        <w:pStyle w:val="2"/>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1-1</w:t>
      </w:r>
    </w:p>
    <w:p w14:paraId="7D9F10F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方正小标宋_GBK"/>
          <w:sz w:val="44"/>
          <w:szCs w:val="44"/>
          <w:u w:val="none"/>
          <w:lang w:val="en-US" w:eastAsia="zh-CN"/>
        </w:rPr>
      </w:pPr>
    </w:p>
    <w:p w14:paraId="7EDAA9B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lang w:val="en-US" w:eastAsia="zh-CN"/>
        </w:rPr>
      </w:pPr>
      <w:r>
        <w:rPr>
          <w:rFonts w:hint="eastAsia" w:ascii="Times New Roman" w:hAnsi="Times New Roman" w:eastAsia="方正小标宋_GBK" w:cs="方正小标宋_GBK"/>
          <w:sz w:val="44"/>
          <w:szCs w:val="44"/>
          <w:u w:val="none"/>
          <w:lang w:val="en-US" w:eastAsia="zh-CN"/>
        </w:rPr>
        <w:t>西藏自治区房屋市政工程施工安全日志</w:t>
      </w:r>
    </w:p>
    <w:p w14:paraId="5CE68B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lang w:eastAsia="zh-CN"/>
        </w:rPr>
        <w:t>西藏自治区房屋市政工程</w:t>
      </w:r>
    </w:p>
    <w:p w14:paraId="22C6BD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lang w:eastAsia="zh-CN"/>
        </w:rPr>
        <w:t>施工安全日志</w:t>
      </w:r>
    </w:p>
    <w:p w14:paraId="26333C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（范本）</w:t>
      </w:r>
    </w:p>
    <w:p w14:paraId="08A94AC6">
      <w:pPr>
        <w:rPr>
          <w:rFonts w:hint="eastAsia" w:ascii="Times New Roman" w:hAnsi="Times New Roman" w:eastAsia="方正黑体_GBK" w:cs="方正黑体_GBK"/>
          <w:sz w:val="36"/>
          <w:szCs w:val="36"/>
          <w:lang w:eastAsia="zh-CN"/>
        </w:rPr>
      </w:pPr>
    </w:p>
    <w:p w14:paraId="46CB56ED">
      <w:pPr>
        <w:rPr>
          <w:rFonts w:hint="eastAsia" w:ascii="Times New Roman" w:hAnsi="Times New Roman" w:eastAsia="方正黑体_GBK" w:cs="方正黑体_GBK"/>
          <w:sz w:val="36"/>
          <w:szCs w:val="36"/>
          <w:lang w:eastAsia="zh-CN"/>
        </w:rPr>
      </w:pPr>
    </w:p>
    <w:p w14:paraId="093707A5">
      <w:pPr>
        <w:rPr>
          <w:rFonts w:hint="eastAsia" w:ascii="Times New Roman" w:hAnsi="Times New Roman" w:eastAsia="方正黑体_GBK" w:cs="方正黑体_GBK"/>
          <w:sz w:val="36"/>
          <w:szCs w:val="36"/>
          <w:lang w:eastAsia="zh-CN"/>
        </w:rPr>
      </w:pPr>
    </w:p>
    <w:p w14:paraId="22BA7A0D">
      <w:pPr>
        <w:rPr>
          <w:rFonts w:hint="eastAsia" w:ascii="Times New Roman" w:hAnsi="Times New Roman" w:eastAsia="方正黑体_GBK" w:cs="方正黑体_GBK"/>
          <w:sz w:val="36"/>
          <w:szCs w:val="36"/>
          <w:lang w:eastAsia="zh-CN"/>
        </w:rPr>
      </w:pPr>
    </w:p>
    <w:p w14:paraId="689C535F">
      <w:pPr>
        <w:rPr>
          <w:rFonts w:hint="eastAsia" w:ascii="Times New Roman" w:hAnsi="Times New Roman" w:eastAsia="方正黑体_GBK" w:cs="方正黑体_GBK"/>
          <w:sz w:val="32"/>
          <w:szCs w:val="32"/>
          <w:lang w:eastAsia="zh-CN"/>
        </w:rPr>
      </w:pPr>
    </w:p>
    <w:p w14:paraId="3E2D1754">
      <w:pPr>
        <w:rPr>
          <w:rFonts w:hint="eastAsia" w:ascii="Times New Roman" w:hAnsi="Times New Roman" w:eastAsia="方正黑体_GBK" w:cs="方正黑体_GBK"/>
          <w:sz w:val="32"/>
          <w:szCs w:val="32"/>
          <w:lang w:eastAsia="zh-CN"/>
        </w:rPr>
      </w:pPr>
    </w:p>
    <w:p w14:paraId="6D5F6017">
      <w:pPr>
        <w:ind w:firstLine="960" w:firstLineChars="300"/>
        <w:jc w:val="left"/>
        <w:rPr>
          <w:rFonts w:hint="eastAsia" w:ascii="Times New Roman" w:hAnsi="Times New Roman" w:eastAsia="黑体" w:cs="黑体"/>
          <w:sz w:val="32"/>
          <w:szCs w:val="32"/>
          <w:u w:val="single"/>
          <w:lang w:val="en-US" w:eastAsia="zh-CN"/>
        </w:rPr>
      </w:pPr>
      <w:r>
        <w:rPr>
          <w:rFonts w:hint="eastAsia" w:ascii="Times New Roman" w:hAnsi="Times New Roman" w:eastAsia="黑体" w:cs="黑体"/>
          <w:sz w:val="32"/>
          <w:szCs w:val="32"/>
          <w:lang w:eastAsia="zh-CN"/>
        </w:rPr>
        <w:t>项目名称</w:t>
      </w:r>
      <w:r>
        <w:rPr>
          <w:rFonts w:hint="eastAsia" w:ascii="Times New Roman" w:hAnsi="Times New Roman" w:eastAsia="黑体" w:cs="黑体"/>
          <w:sz w:val="32"/>
          <w:szCs w:val="32"/>
          <w:u w:val="single"/>
          <w:lang w:val="en-US" w:eastAsia="zh-CN"/>
        </w:rPr>
        <w:t xml:space="preserve">                           </w:t>
      </w:r>
    </w:p>
    <w:p w14:paraId="2F9B2FAB">
      <w:pPr>
        <w:jc w:val="left"/>
        <w:rPr>
          <w:rFonts w:hint="eastAsia" w:ascii="Times New Roman" w:hAnsi="Times New Roman" w:eastAsia="黑体" w:cs="黑体"/>
          <w:sz w:val="32"/>
          <w:szCs w:val="32"/>
          <w:lang w:eastAsia="zh-CN"/>
        </w:rPr>
      </w:pPr>
    </w:p>
    <w:p w14:paraId="5EAD9D0F">
      <w:pPr>
        <w:ind w:firstLine="960" w:firstLineChars="300"/>
        <w:jc w:val="left"/>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eastAsia="zh-CN"/>
        </w:rPr>
        <w:t>建设单位</w:t>
      </w:r>
      <w:r>
        <w:rPr>
          <w:rFonts w:hint="eastAsia" w:ascii="Times New Roman" w:hAnsi="Times New Roman" w:eastAsia="黑体" w:cs="黑体"/>
          <w:sz w:val="32"/>
          <w:szCs w:val="32"/>
          <w:u w:val="single"/>
          <w:lang w:val="en-US" w:eastAsia="zh-CN"/>
        </w:rPr>
        <w:t xml:space="preserve">                            </w:t>
      </w:r>
      <w:r>
        <w:rPr>
          <w:rFonts w:hint="eastAsia" w:ascii="Times New Roman" w:hAnsi="Times New Roman" w:eastAsia="黑体" w:cs="黑体"/>
          <w:sz w:val="32"/>
          <w:szCs w:val="32"/>
          <w:lang w:val="en-US" w:eastAsia="zh-CN"/>
        </w:rPr>
        <w:t xml:space="preserve">           </w:t>
      </w:r>
    </w:p>
    <w:p w14:paraId="5FAF83BE">
      <w:pPr>
        <w:jc w:val="left"/>
        <w:rPr>
          <w:rFonts w:hint="eastAsia" w:ascii="Times New Roman" w:hAnsi="Times New Roman" w:eastAsia="黑体" w:cs="黑体"/>
          <w:sz w:val="32"/>
          <w:szCs w:val="32"/>
          <w:lang w:eastAsia="zh-CN"/>
        </w:rPr>
      </w:pPr>
    </w:p>
    <w:p w14:paraId="6196B326">
      <w:pPr>
        <w:ind w:firstLine="960" w:firstLineChars="300"/>
        <w:jc w:val="left"/>
        <w:rPr>
          <w:rFonts w:hint="eastAsia" w:ascii="Times New Roman" w:hAnsi="Times New Roman" w:eastAsia="黑体" w:cs="黑体"/>
          <w:sz w:val="32"/>
          <w:szCs w:val="32"/>
          <w:u w:val="single"/>
          <w:lang w:val="en-US" w:eastAsia="zh-CN"/>
        </w:rPr>
      </w:pPr>
      <w:r>
        <w:rPr>
          <w:rFonts w:hint="eastAsia" w:ascii="Times New Roman" w:hAnsi="Times New Roman" w:eastAsia="黑体" w:cs="黑体"/>
          <w:sz w:val="32"/>
          <w:szCs w:val="32"/>
          <w:lang w:eastAsia="zh-CN"/>
        </w:rPr>
        <w:t>施工单位</w:t>
      </w:r>
      <w:r>
        <w:rPr>
          <w:rFonts w:hint="eastAsia" w:ascii="Times New Roman" w:hAnsi="Times New Roman" w:eastAsia="黑体" w:cs="黑体"/>
          <w:sz w:val="32"/>
          <w:szCs w:val="32"/>
          <w:u w:val="single"/>
          <w:lang w:val="en-US" w:eastAsia="zh-CN"/>
        </w:rPr>
        <w:t xml:space="preserve">                            </w:t>
      </w:r>
    </w:p>
    <w:p w14:paraId="3FEC9FDD">
      <w:pPr>
        <w:jc w:val="left"/>
        <w:rPr>
          <w:rFonts w:hint="eastAsia" w:ascii="Times New Roman" w:hAnsi="Times New Roman" w:eastAsia="黑体" w:cs="黑体"/>
          <w:sz w:val="32"/>
          <w:szCs w:val="32"/>
          <w:lang w:eastAsia="zh-CN"/>
        </w:rPr>
      </w:pPr>
    </w:p>
    <w:p w14:paraId="5EAF157B">
      <w:pPr>
        <w:ind w:firstLine="960" w:firstLineChars="300"/>
        <w:jc w:val="left"/>
        <w:rPr>
          <w:rFonts w:hint="eastAsia" w:ascii="Times New Roman" w:hAnsi="Times New Roman" w:eastAsia="方正黑体_GBK" w:cs="方正黑体_GBK"/>
          <w:sz w:val="32"/>
          <w:szCs w:val="32"/>
          <w:u w:val="single"/>
          <w:lang w:val="en-US" w:eastAsia="zh-CN"/>
        </w:rPr>
      </w:pPr>
      <w:r>
        <w:rPr>
          <w:rFonts w:hint="eastAsia" w:ascii="Times New Roman" w:hAnsi="Times New Roman" w:eastAsia="黑体" w:cs="黑体"/>
          <w:sz w:val="32"/>
          <w:szCs w:val="32"/>
          <w:lang w:eastAsia="zh-CN"/>
        </w:rPr>
        <w:t>监理单位</w:t>
      </w:r>
      <w:r>
        <w:rPr>
          <w:rFonts w:hint="eastAsia" w:ascii="Times New Roman" w:hAnsi="Times New Roman" w:eastAsia="黑体" w:cs="黑体"/>
          <w:sz w:val="32"/>
          <w:szCs w:val="32"/>
          <w:u w:val="single"/>
          <w:lang w:val="en-US" w:eastAsia="zh-CN"/>
        </w:rPr>
        <w:t xml:space="preserve">   </w:t>
      </w:r>
      <w:r>
        <w:rPr>
          <w:rFonts w:hint="eastAsia" w:ascii="Times New Roman" w:hAnsi="Times New Roman" w:eastAsia="方正黑体_GBK" w:cs="方正黑体_GBK"/>
          <w:sz w:val="32"/>
          <w:szCs w:val="32"/>
          <w:u w:val="single"/>
          <w:lang w:val="en-US" w:eastAsia="zh-CN"/>
        </w:rPr>
        <w:t xml:space="preserve">                         </w:t>
      </w:r>
    </w:p>
    <w:p w14:paraId="5A032B6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sz w:val="36"/>
          <w:szCs w:val="36"/>
          <w:u w:val="none"/>
          <w:lang w:val="en-US" w:eastAsia="zh-CN"/>
        </w:rPr>
      </w:pPr>
    </w:p>
    <w:p w14:paraId="28FBC71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sz w:val="36"/>
          <w:szCs w:val="36"/>
          <w:u w:val="none"/>
          <w:lang w:val="en-US" w:eastAsia="zh-CN"/>
        </w:rPr>
      </w:pPr>
    </w:p>
    <w:p w14:paraId="57075AE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仿宋_GB2312" w:cs="仿宋_GB2312"/>
          <w:sz w:val="21"/>
          <w:szCs w:val="21"/>
          <w:u w:val="single"/>
          <w:lang w:val="en-US" w:eastAsia="zh-CN"/>
        </w:rPr>
      </w:pPr>
      <w:r>
        <w:rPr>
          <w:rFonts w:hint="eastAsia" w:ascii="Times New Roman" w:hAnsi="Times New Roman" w:eastAsia="仿宋_GB2312" w:cs="仿宋_GB2312"/>
          <w:sz w:val="21"/>
          <w:szCs w:val="21"/>
          <w:lang w:val="en-US" w:eastAsia="zh-CN"/>
        </w:rPr>
        <w:t>日期：</w:t>
      </w:r>
      <w:r>
        <w:rPr>
          <w:rFonts w:hint="eastAsia" w:ascii="Times New Roman" w:hAnsi="Times New Roman" w:eastAsia="仿宋_GB2312" w:cs="仿宋_GB2312"/>
          <w:sz w:val="21"/>
          <w:szCs w:val="21"/>
          <w:u w:val="single"/>
          <w:lang w:val="en-US" w:eastAsia="zh-CN"/>
        </w:rPr>
        <w:t xml:space="preserve">         </w:t>
      </w:r>
      <w:r>
        <w:rPr>
          <w:rFonts w:hint="eastAsia" w:ascii="Times New Roman" w:hAnsi="Times New Roman" w:eastAsia="仿宋_GB2312" w:cs="仿宋_GB2312"/>
          <w:sz w:val="21"/>
          <w:szCs w:val="21"/>
          <w:u w:val="none"/>
          <w:lang w:val="en-US" w:eastAsia="zh-CN"/>
        </w:rPr>
        <w:t>年</w:t>
      </w:r>
      <w:r>
        <w:rPr>
          <w:rFonts w:hint="eastAsia" w:ascii="Times New Roman" w:hAnsi="Times New Roman" w:eastAsia="仿宋_GB2312" w:cs="仿宋_GB2312"/>
          <w:sz w:val="21"/>
          <w:szCs w:val="21"/>
          <w:u w:val="single"/>
          <w:lang w:val="en-US" w:eastAsia="zh-CN"/>
        </w:rPr>
        <w:t xml:space="preserve">       </w:t>
      </w:r>
      <w:r>
        <w:rPr>
          <w:rFonts w:hint="eastAsia" w:ascii="Times New Roman" w:hAnsi="Times New Roman" w:eastAsia="仿宋_GB2312" w:cs="仿宋_GB2312"/>
          <w:sz w:val="21"/>
          <w:szCs w:val="21"/>
          <w:u w:val="none"/>
          <w:lang w:val="en-US" w:eastAsia="zh-CN"/>
        </w:rPr>
        <w:t>月</w:t>
      </w:r>
      <w:r>
        <w:rPr>
          <w:rFonts w:hint="eastAsia" w:ascii="Times New Roman" w:hAnsi="Times New Roman" w:eastAsia="仿宋_GB2312" w:cs="仿宋_GB2312"/>
          <w:sz w:val="21"/>
          <w:szCs w:val="21"/>
          <w:u w:val="single"/>
          <w:lang w:val="en-US" w:eastAsia="zh-CN"/>
        </w:rPr>
        <w:t xml:space="preserve">       </w:t>
      </w:r>
      <w:r>
        <w:rPr>
          <w:rFonts w:hint="eastAsia" w:ascii="Times New Roman" w:hAnsi="Times New Roman" w:eastAsia="仿宋_GB2312" w:cs="仿宋_GB2312"/>
          <w:sz w:val="21"/>
          <w:szCs w:val="21"/>
          <w:u w:val="none"/>
          <w:lang w:val="en-US" w:eastAsia="zh-CN"/>
        </w:rPr>
        <w:t>日                     天气情况：</w:t>
      </w:r>
      <w:r>
        <w:rPr>
          <w:rFonts w:hint="eastAsia" w:ascii="Times New Roman" w:hAnsi="Times New Roman" w:eastAsia="仿宋_GB2312" w:cs="仿宋_GB2312"/>
          <w:sz w:val="21"/>
          <w:szCs w:val="21"/>
          <w:u w:val="single"/>
          <w:lang w:val="en-US" w:eastAsia="zh-CN"/>
        </w:rPr>
        <w:t xml:space="preserve">                  </w:t>
      </w:r>
    </w:p>
    <w:p w14:paraId="2C409F9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宋体" w:cs="宋体"/>
          <w:sz w:val="21"/>
          <w:szCs w:val="21"/>
          <w:u w:val="single"/>
          <w:lang w:val="en-US" w:eastAsia="zh-CN"/>
        </w:rPr>
      </w:pPr>
      <w:r>
        <w:rPr>
          <w:rFonts w:hint="eastAsia" w:ascii="Times New Roman" w:hAnsi="Times New Roman" w:eastAsia="仿宋_GB2312" w:cs="仿宋_GB2312"/>
          <w:spacing w:val="-20"/>
          <w:sz w:val="21"/>
          <w:szCs w:val="21"/>
          <w:u w:val="none"/>
          <w:lang w:val="en-US" w:eastAsia="zh-CN"/>
        </w:rPr>
        <w:t>项目专职安全生产管理人员证书编号：</w:t>
      </w:r>
      <w:r>
        <w:rPr>
          <w:rFonts w:hint="eastAsia" w:ascii="Times New Roman" w:hAnsi="Times New Roman" w:eastAsia="仿宋_GB2312" w:cs="仿宋_GB2312"/>
          <w:spacing w:val="-20"/>
          <w:sz w:val="21"/>
          <w:szCs w:val="21"/>
          <w:u w:val="single"/>
          <w:lang w:val="en-US" w:eastAsia="zh-CN"/>
        </w:rPr>
        <w:t xml:space="preserve">                               </w:t>
      </w:r>
      <w:r>
        <w:rPr>
          <w:rFonts w:hint="eastAsia" w:ascii="Times New Roman" w:hAnsi="Times New Roman" w:eastAsia="仿宋_GB2312" w:cs="仿宋_GB2312"/>
          <w:spacing w:val="-20"/>
          <w:sz w:val="21"/>
          <w:szCs w:val="21"/>
          <w:u w:val="none"/>
          <w:lang w:val="en-US" w:eastAsia="zh-CN"/>
        </w:rPr>
        <w:t>项目专职安全生产管理人员（签字）：</w:t>
      </w:r>
      <w:r>
        <w:rPr>
          <w:rFonts w:hint="eastAsia" w:ascii="Times New Roman" w:hAnsi="Times New Roman" w:eastAsia="仿宋_GB2312" w:cs="仿宋_GB2312"/>
          <w:spacing w:val="-20"/>
          <w:sz w:val="21"/>
          <w:szCs w:val="21"/>
          <w:u w:val="single"/>
          <w:lang w:val="en-US" w:eastAsia="zh-CN"/>
        </w:rPr>
        <w:t xml:space="preserve">         </w:t>
      </w:r>
      <w:r>
        <w:rPr>
          <w:rFonts w:hint="eastAsia" w:ascii="Times New Roman" w:hAnsi="Times New Roman" w:eastAsia="仿宋_GB2312" w:cs="仿宋_GB2312"/>
          <w:sz w:val="21"/>
          <w:szCs w:val="21"/>
          <w:u w:val="single"/>
          <w:lang w:val="en-US" w:eastAsia="zh-CN"/>
        </w:rPr>
        <w:t xml:space="preserve">    </w:t>
      </w:r>
      <w:r>
        <w:rPr>
          <w:rFonts w:hint="eastAsia" w:ascii="Times New Roman" w:hAnsi="Times New Roman" w:eastAsia="宋体" w:cs="宋体"/>
          <w:sz w:val="21"/>
          <w:szCs w:val="21"/>
          <w:u w:val="single"/>
          <w:lang w:val="en-US" w:eastAsia="zh-CN"/>
        </w:rPr>
        <w:t xml:space="preserve">  </w:t>
      </w:r>
    </w:p>
    <w:p w14:paraId="786C9530">
      <w:pPr>
        <w:keepNext w:val="0"/>
        <w:keepLines w:val="0"/>
        <w:pageBreakBefore w:val="0"/>
        <w:widowControl w:val="0"/>
        <w:kinsoku/>
        <w:wordWrap/>
        <w:overflowPunct/>
        <w:topLinePunct w:val="0"/>
        <w:autoSpaceDE/>
        <w:autoSpaceDN/>
        <w:bidi w:val="0"/>
        <w:adjustRightInd/>
        <w:snapToGrid/>
        <w:spacing w:line="160" w:lineRule="exact"/>
        <w:jc w:val="left"/>
        <w:textAlignment w:val="auto"/>
        <w:rPr>
          <w:rFonts w:hint="eastAsia" w:ascii="Times New Roman" w:hAnsi="Times New Roman" w:eastAsia="宋体" w:cs="宋体"/>
          <w:sz w:val="21"/>
          <w:szCs w:val="21"/>
          <w:u w:val="single"/>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785"/>
        <w:gridCol w:w="7220"/>
      </w:tblGrid>
      <w:tr w14:paraId="26A6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061" w:type="dxa"/>
            <w:gridSpan w:val="3"/>
            <w:noWrap w:val="0"/>
            <w:vAlign w:val="center"/>
          </w:tcPr>
          <w:p w14:paraId="1F4FFE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4"/>
                <w:szCs w:val="24"/>
                <w:u w:val="none"/>
                <w:vertAlign w:val="baseline"/>
                <w:lang w:val="en-US" w:eastAsia="zh-CN"/>
              </w:rPr>
            </w:pPr>
            <w:r>
              <w:rPr>
                <w:rFonts w:hint="eastAsia" w:ascii="Times New Roman" w:hAnsi="Times New Roman" w:eastAsia="黑体" w:cs="黑体"/>
                <w:sz w:val="28"/>
                <w:szCs w:val="28"/>
                <w:u w:val="none"/>
                <w:vertAlign w:val="baseline"/>
                <w:lang w:val="en-US" w:eastAsia="zh-CN"/>
              </w:rPr>
              <w:t>今日施工内容</w:t>
            </w:r>
          </w:p>
        </w:tc>
      </w:tr>
      <w:tr w14:paraId="07BD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9061" w:type="dxa"/>
            <w:gridSpan w:val="3"/>
            <w:noWrap w:val="0"/>
            <w:vAlign w:val="top"/>
          </w:tcPr>
          <w:p w14:paraId="3A3050B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tc>
      </w:tr>
      <w:tr w14:paraId="5D0B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061" w:type="dxa"/>
            <w:gridSpan w:val="3"/>
            <w:noWrap w:val="0"/>
            <w:vAlign w:val="center"/>
          </w:tcPr>
          <w:p w14:paraId="5AB0E2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4"/>
                <w:szCs w:val="24"/>
                <w:u w:val="none"/>
                <w:vertAlign w:val="baseline"/>
                <w:lang w:val="en-US" w:eastAsia="zh-CN"/>
              </w:rPr>
            </w:pPr>
            <w:r>
              <w:rPr>
                <w:rFonts w:hint="eastAsia" w:ascii="Times New Roman" w:hAnsi="Times New Roman" w:eastAsia="黑体" w:cs="黑体"/>
                <w:sz w:val="28"/>
                <w:szCs w:val="28"/>
                <w:u w:val="none"/>
                <w:vertAlign w:val="baseline"/>
                <w:lang w:val="en-US" w:eastAsia="zh-CN"/>
              </w:rPr>
              <w:t>今日检查记录</w:t>
            </w:r>
          </w:p>
        </w:tc>
      </w:tr>
      <w:tr w14:paraId="333C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19" w:type="dxa"/>
            <w:noWrap w:val="0"/>
            <w:vAlign w:val="center"/>
          </w:tcPr>
          <w:p w14:paraId="23F533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r>
              <w:rPr>
                <w:rFonts w:hint="eastAsia" w:ascii="Times New Roman" w:hAnsi="Times New Roman" w:eastAsia="黑体" w:cs="黑体"/>
                <w:sz w:val="28"/>
                <w:szCs w:val="28"/>
                <w:u w:val="none"/>
                <w:vertAlign w:val="baseline"/>
                <w:lang w:val="en-US" w:eastAsia="zh-CN"/>
              </w:rPr>
              <w:t>序号</w:t>
            </w:r>
          </w:p>
        </w:tc>
        <w:tc>
          <w:tcPr>
            <w:tcW w:w="810" w:type="dxa"/>
            <w:noWrap w:val="0"/>
            <w:vAlign w:val="center"/>
          </w:tcPr>
          <w:p w14:paraId="3B3FAA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r>
              <w:rPr>
                <w:rFonts w:hint="eastAsia" w:ascii="Times New Roman" w:hAnsi="Times New Roman" w:eastAsia="黑体" w:cs="黑体"/>
                <w:sz w:val="28"/>
                <w:szCs w:val="28"/>
                <w:u w:val="none"/>
                <w:vertAlign w:val="baseline"/>
                <w:lang w:val="en-US" w:eastAsia="zh-CN"/>
              </w:rPr>
              <w:t>项目</w:t>
            </w:r>
          </w:p>
        </w:tc>
        <w:tc>
          <w:tcPr>
            <w:tcW w:w="7732" w:type="dxa"/>
            <w:noWrap w:val="0"/>
            <w:vAlign w:val="center"/>
          </w:tcPr>
          <w:p w14:paraId="6F48BA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4"/>
                <w:szCs w:val="24"/>
                <w:u w:val="none"/>
                <w:vertAlign w:val="baseline"/>
                <w:lang w:val="en-US" w:eastAsia="zh-CN"/>
              </w:rPr>
            </w:pPr>
            <w:r>
              <w:rPr>
                <w:rFonts w:hint="eastAsia" w:ascii="Times New Roman" w:hAnsi="Times New Roman" w:eastAsia="黑体" w:cs="黑体"/>
                <w:sz w:val="28"/>
                <w:szCs w:val="28"/>
                <w:u w:val="none"/>
                <w:vertAlign w:val="baseline"/>
                <w:lang w:val="en-US" w:eastAsia="zh-CN"/>
              </w:rPr>
              <w:t>填写内容</w:t>
            </w:r>
          </w:p>
        </w:tc>
      </w:tr>
      <w:tr w14:paraId="1FBC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4" w:hRule="atLeast"/>
        </w:trPr>
        <w:tc>
          <w:tcPr>
            <w:tcW w:w="519" w:type="dxa"/>
            <w:noWrap w:val="0"/>
            <w:vAlign w:val="center"/>
          </w:tcPr>
          <w:p w14:paraId="4DAC4D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r>
              <w:rPr>
                <w:rFonts w:hint="eastAsia" w:ascii="Times New Roman" w:hAnsi="Times New Roman" w:eastAsia="黑体" w:cs="黑体"/>
                <w:sz w:val="28"/>
                <w:szCs w:val="28"/>
                <w:u w:val="none"/>
                <w:vertAlign w:val="baseline"/>
                <w:lang w:val="en-US" w:eastAsia="zh-CN"/>
              </w:rPr>
              <w:t>一</w:t>
            </w:r>
          </w:p>
        </w:tc>
        <w:tc>
          <w:tcPr>
            <w:tcW w:w="810" w:type="dxa"/>
            <w:noWrap w:val="0"/>
            <w:vAlign w:val="center"/>
          </w:tcPr>
          <w:p w14:paraId="2F1F1F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r>
              <w:rPr>
                <w:rFonts w:hint="eastAsia" w:ascii="Times New Roman" w:hAnsi="Times New Roman" w:eastAsia="黑体" w:cs="黑体"/>
                <w:sz w:val="28"/>
                <w:szCs w:val="28"/>
                <w:u w:val="none"/>
                <w:vertAlign w:val="baseline"/>
                <w:lang w:val="en-US" w:eastAsia="zh-CN"/>
              </w:rPr>
              <w:t>岗前</w:t>
            </w:r>
          </w:p>
          <w:p w14:paraId="336C60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41463E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r>
              <w:rPr>
                <w:rFonts w:hint="eastAsia" w:ascii="Times New Roman" w:hAnsi="Times New Roman" w:eastAsia="黑体" w:cs="黑体"/>
                <w:sz w:val="28"/>
                <w:szCs w:val="28"/>
                <w:u w:val="none"/>
                <w:vertAlign w:val="baseline"/>
                <w:lang w:val="en-US" w:eastAsia="zh-CN"/>
              </w:rPr>
              <w:t>巡查</w:t>
            </w:r>
          </w:p>
        </w:tc>
        <w:tc>
          <w:tcPr>
            <w:tcW w:w="7732" w:type="dxa"/>
            <w:noWrap w:val="0"/>
            <w:vAlign w:val="top"/>
          </w:tcPr>
          <w:p w14:paraId="79ECCA5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（一）安全防护</w:t>
            </w:r>
          </w:p>
          <w:p w14:paraId="413B7CDA">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3E925B53">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4DD589F6">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36E08EB1">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5C2F3548">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（二）施工现场临时用电</w:t>
            </w:r>
          </w:p>
          <w:p w14:paraId="000F19DA">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36F09E7A">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71E923D1">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16881A2E">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2E8C80D5">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（三）施工消防</w:t>
            </w:r>
          </w:p>
          <w:p w14:paraId="3FBA3B6F">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18CC1184">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70B88CD1">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3744E900">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0F86682E">
            <w:pPr>
              <w:keepNext w:val="0"/>
              <w:keepLines w:val="0"/>
              <w:pageBreakBefore w:val="0"/>
              <w:widowControl w:val="0"/>
              <w:numPr>
                <w:ilvl w:val="0"/>
                <w:numId w:val="2"/>
              </w:numPr>
              <w:suppressAutoHyphens/>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危大工程（按分部分项工程岗前检查情况如实填写此栏）</w:t>
            </w:r>
          </w:p>
          <w:p w14:paraId="2CA1B013">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4D4DFA82">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2FD194F0">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5FBA17C5">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tc>
      </w:tr>
    </w:tbl>
    <w:p w14:paraId="32C6848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lang w:val="en-US"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007"/>
        <w:gridCol w:w="6720"/>
      </w:tblGrid>
      <w:tr w14:paraId="6C04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9" w:hRule="atLeast"/>
        </w:trPr>
        <w:tc>
          <w:tcPr>
            <w:tcW w:w="822" w:type="dxa"/>
            <w:noWrap w:val="0"/>
            <w:vAlign w:val="center"/>
          </w:tcPr>
          <w:p w14:paraId="6CC766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2EE8EA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4"/>
                <w:szCs w:val="24"/>
                <w:u w:val="none"/>
                <w:vertAlign w:val="baseline"/>
                <w:lang w:val="en-US" w:eastAsia="zh-CN"/>
              </w:rPr>
            </w:pPr>
            <w:r>
              <w:rPr>
                <w:rFonts w:hint="eastAsia" w:ascii="Times New Roman" w:hAnsi="Times New Roman" w:eastAsia="黑体" w:cs="黑体"/>
                <w:sz w:val="28"/>
                <w:szCs w:val="28"/>
                <w:u w:val="none"/>
                <w:vertAlign w:val="baseline"/>
                <w:lang w:val="en-US" w:eastAsia="zh-CN"/>
              </w:rPr>
              <w:t>二</w:t>
            </w:r>
          </w:p>
        </w:tc>
        <w:tc>
          <w:tcPr>
            <w:tcW w:w="1028" w:type="dxa"/>
            <w:noWrap w:val="0"/>
            <w:vAlign w:val="center"/>
          </w:tcPr>
          <w:p w14:paraId="4B7DB6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2A8E49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r>
              <w:rPr>
                <w:rFonts w:hint="eastAsia" w:ascii="Times New Roman" w:hAnsi="Times New Roman" w:eastAsia="黑体" w:cs="黑体"/>
                <w:sz w:val="28"/>
                <w:szCs w:val="28"/>
                <w:u w:val="none"/>
                <w:vertAlign w:val="baseline"/>
                <w:lang w:val="en-US" w:eastAsia="zh-CN"/>
              </w:rPr>
              <w:t>岗前</w:t>
            </w:r>
          </w:p>
          <w:p w14:paraId="22F46B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77C885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4"/>
                <w:szCs w:val="24"/>
                <w:u w:val="none"/>
                <w:vertAlign w:val="baseline"/>
                <w:lang w:val="en-US" w:eastAsia="zh-CN"/>
              </w:rPr>
            </w:pPr>
            <w:r>
              <w:rPr>
                <w:rFonts w:hint="eastAsia" w:ascii="Times New Roman" w:hAnsi="Times New Roman" w:eastAsia="黑体" w:cs="黑体"/>
                <w:sz w:val="28"/>
                <w:szCs w:val="28"/>
                <w:u w:val="none"/>
                <w:vertAlign w:val="baseline"/>
                <w:lang w:val="en-US" w:eastAsia="zh-CN"/>
              </w:rPr>
              <w:t>教育</w:t>
            </w:r>
          </w:p>
        </w:tc>
        <w:tc>
          <w:tcPr>
            <w:tcW w:w="7211" w:type="dxa"/>
            <w:noWrap w:val="0"/>
            <w:vAlign w:val="top"/>
          </w:tcPr>
          <w:p w14:paraId="6AC856E0">
            <w:pPr>
              <w:keepNext w:val="0"/>
              <w:keepLines w:val="0"/>
              <w:pageBreakBefore w:val="0"/>
              <w:widowControl w:val="0"/>
              <w:numPr>
                <w:ilvl w:val="0"/>
                <w:numId w:val="3"/>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班前喊话情况</w:t>
            </w:r>
          </w:p>
          <w:p w14:paraId="180D62F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4A9650D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1737869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734DF2A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49F209B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4717F825">
            <w:pPr>
              <w:keepNext w:val="0"/>
              <w:keepLines w:val="0"/>
              <w:pageBreakBefore w:val="0"/>
              <w:widowControl w:val="0"/>
              <w:numPr>
                <w:ilvl w:val="0"/>
                <w:numId w:val="3"/>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告知施工作业人员危险事项</w:t>
            </w:r>
          </w:p>
          <w:p w14:paraId="7DAE897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00F533F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7446167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4FB0AB9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074C751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728B9A39">
            <w:pPr>
              <w:keepNext w:val="0"/>
              <w:keepLines w:val="0"/>
              <w:pageBreakBefore w:val="0"/>
              <w:widowControl w:val="0"/>
              <w:numPr>
                <w:ilvl w:val="0"/>
                <w:numId w:val="3"/>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检查安全防护用品</w:t>
            </w:r>
          </w:p>
          <w:p w14:paraId="33BAC2F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0D54270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4EE7611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3733713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31A271E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64D9420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（四）检查施工作业人员身体状况（如：血压、血氧、心率等高原环境适应性基础生理指标）</w:t>
            </w:r>
          </w:p>
          <w:p w14:paraId="73416BE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398C444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4A92ED2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6CFA2AE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4A56F7F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tc>
      </w:tr>
      <w:tr w14:paraId="2273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2" w:type="dxa"/>
            <w:noWrap w:val="0"/>
            <w:vAlign w:val="center"/>
          </w:tcPr>
          <w:p w14:paraId="43E781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r>
              <w:rPr>
                <w:rFonts w:hint="eastAsia" w:ascii="Times New Roman" w:hAnsi="Times New Roman" w:eastAsia="黑体" w:cs="黑体"/>
                <w:sz w:val="28"/>
                <w:szCs w:val="28"/>
                <w:u w:val="none"/>
                <w:vertAlign w:val="baseline"/>
                <w:lang w:val="en-US" w:eastAsia="zh-CN"/>
              </w:rPr>
              <w:t>三</w:t>
            </w:r>
          </w:p>
        </w:tc>
        <w:tc>
          <w:tcPr>
            <w:tcW w:w="1028" w:type="dxa"/>
            <w:noWrap w:val="0"/>
            <w:vAlign w:val="center"/>
          </w:tcPr>
          <w:p w14:paraId="3F475A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r>
              <w:rPr>
                <w:rFonts w:hint="eastAsia" w:ascii="Times New Roman" w:hAnsi="Times New Roman" w:eastAsia="黑体" w:cs="黑体"/>
                <w:sz w:val="28"/>
                <w:szCs w:val="28"/>
                <w:u w:val="none"/>
                <w:vertAlign w:val="baseline"/>
                <w:lang w:val="en-US" w:eastAsia="zh-CN"/>
              </w:rPr>
              <w:t>现场高风险作业</w:t>
            </w:r>
          </w:p>
        </w:tc>
        <w:tc>
          <w:tcPr>
            <w:tcW w:w="7211" w:type="dxa"/>
            <w:noWrap w:val="0"/>
            <w:vAlign w:val="top"/>
          </w:tcPr>
          <w:p w14:paraId="54DC0D78">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今日现场实施的高风险作业（如高处作业、施工临时用电、有限空间作业等）</w:t>
            </w:r>
          </w:p>
          <w:p w14:paraId="3366917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3651FF3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27A6FCE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4BE78D7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5892253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5920091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1391F4F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79EEF9B8">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检查今日实施高风险作业的安全管控措施情况</w:t>
            </w:r>
          </w:p>
          <w:p w14:paraId="0E124B3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5BFA261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738D0FF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03C7593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1D732C3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2296590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1BCC984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tc>
      </w:tr>
      <w:tr w14:paraId="124E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5" w:hRule="atLeast"/>
        </w:trPr>
        <w:tc>
          <w:tcPr>
            <w:tcW w:w="822" w:type="dxa"/>
            <w:noWrap w:val="0"/>
            <w:vAlign w:val="center"/>
          </w:tcPr>
          <w:p w14:paraId="78D57F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266D32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1299DE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49B05B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0E60FE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65A1A7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065C46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0C7585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160F2B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0D7673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3D1212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4"/>
                <w:szCs w:val="24"/>
                <w:u w:val="none"/>
                <w:vertAlign w:val="baseline"/>
                <w:lang w:val="en-US" w:eastAsia="zh-CN"/>
              </w:rPr>
            </w:pPr>
            <w:r>
              <w:rPr>
                <w:rFonts w:hint="eastAsia" w:ascii="Times New Roman" w:hAnsi="Times New Roman" w:eastAsia="黑体" w:cs="黑体"/>
                <w:sz w:val="24"/>
                <w:szCs w:val="24"/>
                <w:u w:val="none"/>
                <w:vertAlign w:val="baseline"/>
                <w:lang w:val="en-US" w:eastAsia="zh-CN"/>
              </w:rPr>
              <w:t>四</w:t>
            </w:r>
          </w:p>
        </w:tc>
        <w:tc>
          <w:tcPr>
            <w:tcW w:w="1028" w:type="dxa"/>
            <w:noWrap w:val="0"/>
            <w:vAlign w:val="center"/>
          </w:tcPr>
          <w:p w14:paraId="6186C2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73907A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7E9A0A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16A850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1C7BA1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426E9F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77F2C6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7445FE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5C0CC3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0A906D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r>
              <w:rPr>
                <w:rFonts w:hint="eastAsia" w:ascii="Times New Roman" w:hAnsi="Times New Roman" w:eastAsia="黑体" w:cs="黑体"/>
                <w:sz w:val="28"/>
                <w:szCs w:val="28"/>
                <w:u w:val="none"/>
                <w:vertAlign w:val="baseline"/>
                <w:lang w:val="en-US" w:eastAsia="zh-CN"/>
              </w:rPr>
              <w:t>危大</w:t>
            </w:r>
          </w:p>
          <w:p w14:paraId="2CA814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09DC18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4"/>
                <w:szCs w:val="24"/>
                <w:u w:val="none"/>
                <w:vertAlign w:val="baseline"/>
                <w:lang w:val="en-US" w:eastAsia="zh-CN"/>
              </w:rPr>
            </w:pPr>
            <w:r>
              <w:rPr>
                <w:rFonts w:hint="eastAsia" w:ascii="Times New Roman" w:hAnsi="Times New Roman" w:eastAsia="黑体" w:cs="黑体"/>
                <w:sz w:val="28"/>
                <w:szCs w:val="28"/>
                <w:u w:val="none"/>
                <w:vertAlign w:val="baseline"/>
                <w:lang w:val="en-US" w:eastAsia="zh-CN"/>
              </w:rPr>
              <w:t>工程</w:t>
            </w:r>
          </w:p>
        </w:tc>
        <w:tc>
          <w:tcPr>
            <w:tcW w:w="7211" w:type="dxa"/>
            <w:noWrap w:val="0"/>
            <w:vAlign w:val="top"/>
          </w:tcPr>
          <w:p w14:paraId="7332FB69">
            <w:pPr>
              <w:keepNext w:val="0"/>
              <w:keepLines w:val="0"/>
              <w:pageBreakBefore w:val="0"/>
              <w:widowControl w:val="0"/>
              <w:numPr>
                <w:ilvl w:val="0"/>
                <w:numId w:val="5"/>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今日实施的危大工程</w:t>
            </w:r>
          </w:p>
          <w:p w14:paraId="0C16FF08">
            <w:pPr>
              <w:keepNext w:val="0"/>
              <w:keepLines w:val="0"/>
              <w:pageBreakBefore w:val="0"/>
              <w:widowControl w:val="0"/>
              <w:numPr>
                <w:ilvl w:val="0"/>
                <w:numId w:val="6"/>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施工现场危大工程范围</w:t>
            </w:r>
          </w:p>
          <w:p w14:paraId="2E91A84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6C6A560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2443BF9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3B95156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545E581B">
            <w:pPr>
              <w:keepNext w:val="0"/>
              <w:keepLines w:val="0"/>
              <w:pageBreakBefore w:val="0"/>
              <w:widowControl w:val="0"/>
              <w:numPr>
                <w:ilvl w:val="0"/>
                <w:numId w:val="6"/>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超过一定规模的危大工程范围</w:t>
            </w:r>
          </w:p>
          <w:p w14:paraId="03EB8DE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1B76E9C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3D86A7D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4E57404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0FFCAE28">
            <w:pPr>
              <w:keepNext w:val="0"/>
              <w:keepLines w:val="0"/>
              <w:pageBreakBefore w:val="0"/>
              <w:widowControl w:val="0"/>
              <w:numPr>
                <w:ilvl w:val="0"/>
                <w:numId w:val="5"/>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各危大工程作业前专项施工方案及安全技术交底情况</w:t>
            </w:r>
          </w:p>
          <w:p w14:paraId="7311EB4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1.专项施工方案交底情况</w:t>
            </w:r>
          </w:p>
          <w:p w14:paraId="20C4311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3D0D048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3D180B1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41AB39A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3F59168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2.安全技术交底情况</w:t>
            </w:r>
          </w:p>
          <w:p w14:paraId="0E2942D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47226F4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50088F1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007419D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4D93BFB9">
            <w:pPr>
              <w:keepNext w:val="0"/>
              <w:keepLines w:val="0"/>
              <w:pageBreakBefore w:val="0"/>
              <w:widowControl w:val="0"/>
              <w:numPr>
                <w:ilvl w:val="0"/>
                <w:numId w:val="5"/>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对照相关标准规范、危大工程专项施工方案检查执行情况</w:t>
            </w:r>
          </w:p>
          <w:p w14:paraId="2D583E8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235E4F1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0F01DA0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53B76FE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3928925F">
            <w:pPr>
              <w:keepNext w:val="0"/>
              <w:keepLines w:val="0"/>
              <w:pageBreakBefore w:val="0"/>
              <w:widowControl w:val="0"/>
              <w:numPr>
                <w:ilvl w:val="0"/>
                <w:numId w:val="5"/>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各危大工程施工安全生产检查情况</w:t>
            </w:r>
          </w:p>
          <w:p w14:paraId="4BF6184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167AE66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2F79FA7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1B83718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1FC79599">
            <w:pPr>
              <w:keepNext w:val="0"/>
              <w:keepLines w:val="0"/>
              <w:pageBreakBefore w:val="0"/>
              <w:widowControl w:val="0"/>
              <w:numPr>
                <w:ilvl w:val="0"/>
                <w:numId w:val="5"/>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各危大工程第三方监测情况</w:t>
            </w:r>
          </w:p>
          <w:p w14:paraId="780F208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4AB6C17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44FF781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5E19B2C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2E5504F3">
            <w:pPr>
              <w:keepNext w:val="0"/>
              <w:keepLines w:val="0"/>
              <w:pageBreakBefore w:val="0"/>
              <w:widowControl w:val="0"/>
              <w:numPr>
                <w:ilvl w:val="0"/>
                <w:numId w:val="5"/>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各危大工程验收情况</w:t>
            </w:r>
          </w:p>
          <w:p w14:paraId="4642091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7EBB77E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07F424A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5466766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tc>
      </w:tr>
      <w:tr w14:paraId="5194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trPr>
        <w:tc>
          <w:tcPr>
            <w:tcW w:w="822" w:type="dxa"/>
            <w:noWrap w:val="0"/>
            <w:vAlign w:val="center"/>
          </w:tcPr>
          <w:p w14:paraId="763FAB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5AB6AE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719592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color w:val="auto"/>
                <w:kern w:val="2"/>
                <w:sz w:val="28"/>
                <w:szCs w:val="28"/>
                <w:u w:val="none"/>
                <w:vertAlign w:val="baseline"/>
                <w:lang w:val="en-US" w:eastAsia="zh-CN" w:bidi="ar-SA"/>
              </w:rPr>
            </w:pPr>
            <w:r>
              <w:rPr>
                <w:rFonts w:hint="eastAsia" w:ascii="Times New Roman" w:hAnsi="Times New Roman" w:eastAsia="黑体" w:cs="黑体"/>
                <w:sz w:val="28"/>
                <w:szCs w:val="28"/>
                <w:u w:val="none"/>
                <w:vertAlign w:val="baseline"/>
                <w:lang w:val="en-US" w:eastAsia="zh-CN"/>
              </w:rPr>
              <w:t>五</w:t>
            </w:r>
          </w:p>
        </w:tc>
        <w:tc>
          <w:tcPr>
            <w:tcW w:w="1028" w:type="dxa"/>
            <w:noWrap w:val="0"/>
            <w:vAlign w:val="center"/>
          </w:tcPr>
          <w:p w14:paraId="6649A3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2F722E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color w:val="auto"/>
                <w:kern w:val="2"/>
                <w:sz w:val="28"/>
                <w:szCs w:val="28"/>
                <w:u w:val="none"/>
                <w:vertAlign w:val="baseline"/>
                <w:lang w:val="en-US" w:eastAsia="zh-CN" w:bidi="ar-SA"/>
              </w:rPr>
            </w:pPr>
            <w:r>
              <w:rPr>
                <w:rFonts w:hint="eastAsia" w:ascii="Times New Roman" w:hAnsi="Times New Roman" w:eastAsia="黑体" w:cs="黑体"/>
                <w:sz w:val="28"/>
                <w:szCs w:val="28"/>
                <w:u w:val="none"/>
                <w:vertAlign w:val="baseline"/>
                <w:lang w:val="en-US" w:eastAsia="zh-CN"/>
              </w:rPr>
              <w:t>重大事故隐患排查治理</w:t>
            </w:r>
          </w:p>
        </w:tc>
        <w:tc>
          <w:tcPr>
            <w:tcW w:w="7211" w:type="dxa"/>
            <w:noWrap w:val="0"/>
            <w:vAlign w:val="top"/>
          </w:tcPr>
          <w:p w14:paraId="58681B0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今日排查新发现的重大事故隐患治理情况（含已发现但仍未消除的重大事故隐患整改进展情况）</w:t>
            </w:r>
          </w:p>
          <w:p w14:paraId="14ED62D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7E0D135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791C7EF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5512F31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36E616E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039CC83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72F8F55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7185BCB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1489337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tc>
      </w:tr>
      <w:tr w14:paraId="3F28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822" w:type="dxa"/>
            <w:noWrap w:val="0"/>
            <w:vAlign w:val="center"/>
          </w:tcPr>
          <w:p w14:paraId="1141C4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02B9F1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6E4A68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color w:val="auto"/>
                <w:kern w:val="2"/>
                <w:sz w:val="28"/>
                <w:szCs w:val="28"/>
                <w:u w:val="none"/>
                <w:vertAlign w:val="baseline"/>
                <w:lang w:val="en-US" w:eastAsia="zh-CN" w:bidi="ar-SA"/>
              </w:rPr>
            </w:pPr>
            <w:r>
              <w:rPr>
                <w:rFonts w:hint="eastAsia" w:ascii="Times New Roman" w:hAnsi="Times New Roman" w:eastAsia="黑体" w:cs="黑体"/>
                <w:sz w:val="28"/>
                <w:szCs w:val="28"/>
                <w:u w:val="none"/>
                <w:vertAlign w:val="baseline"/>
                <w:lang w:val="en-US" w:eastAsia="zh-CN"/>
              </w:rPr>
              <w:t>六</w:t>
            </w:r>
          </w:p>
        </w:tc>
        <w:tc>
          <w:tcPr>
            <w:tcW w:w="1028" w:type="dxa"/>
            <w:noWrap w:val="0"/>
            <w:vAlign w:val="center"/>
          </w:tcPr>
          <w:p w14:paraId="16B6E5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7B07F2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color w:val="auto"/>
                <w:kern w:val="2"/>
                <w:sz w:val="28"/>
                <w:szCs w:val="28"/>
                <w:u w:val="none"/>
                <w:vertAlign w:val="baseline"/>
                <w:lang w:val="en-US" w:eastAsia="zh-CN" w:bidi="ar-SA"/>
              </w:rPr>
            </w:pPr>
            <w:r>
              <w:rPr>
                <w:rFonts w:hint="eastAsia" w:ascii="Times New Roman" w:hAnsi="Times New Roman" w:eastAsia="黑体" w:cs="黑体"/>
                <w:sz w:val="28"/>
                <w:szCs w:val="28"/>
                <w:u w:val="none"/>
                <w:vertAlign w:val="baseline"/>
                <w:lang w:val="en-US" w:eastAsia="zh-CN"/>
              </w:rPr>
              <w:t>一般隐患排查治理</w:t>
            </w:r>
          </w:p>
        </w:tc>
        <w:tc>
          <w:tcPr>
            <w:tcW w:w="7211" w:type="dxa"/>
            <w:noWrap w:val="0"/>
            <w:vAlign w:val="top"/>
          </w:tcPr>
          <w:p w14:paraId="07EDA79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今日排查新发现的一般隐患治理情况（含已发现但仍未消除的一般隐患整改进展情况）</w:t>
            </w:r>
          </w:p>
          <w:p w14:paraId="2BBAA3B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089B24B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11D62B6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55A9614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75BE324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5E51573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75BDA47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7DA2170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195CDA8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tc>
      </w:tr>
      <w:tr w14:paraId="3310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22" w:type="dxa"/>
            <w:noWrap w:val="0"/>
            <w:vAlign w:val="center"/>
          </w:tcPr>
          <w:p w14:paraId="535167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48E7D5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315133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color w:val="auto"/>
                <w:kern w:val="2"/>
                <w:sz w:val="28"/>
                <w:szCs w:val="28"/>
                <w:u w:val="none"/>
                <w:vertAlign w:val="baseline"/>
                <w:lang w:val="en-US" w:eastAsia="zh-CN" w:bidi="ar-SA"/>
              </w:rPr>
            </w:pPr>
            <w:r>
              <w:rPr>
                <w:rFonts w:hint="eastAsia" w:ascii="Times New Roman" w:hAnsi="Times New Roman" w:eastAsia="黑体" w:cs="黑体"/>
                <w:sz w:val="28"/>
                <w:szCs w:val="28"/>
                <w:u w:val="none"/>
                <w:vertAlign w:val="baseline"/>
                <w:lang w:val="en-US" w:eastAsia="zh-CN"/>
              </w:rPr>
              <w:t>七</w:t>
            </w:r>
          </w:p>
        </w:tc>
        <w:tc>
          <w:tcPr>
            <w:tcW w:w="1028" w:type="dxa"/>
            <w:noWrap w:val="0"/>
            <w:vAlign w:val="center"/>
          </w:tcPr>
          <w:p w14:paraId="013640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28E126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p>
          <w:p w14:paraId="697464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color w:val="auto"/>
                <w:kern w:val="2"/>
                <w:sz w:val="28"/>
                <w:szCs w:val="28"/>
                <w:u w:val="none"/>
                <w:vertAlign w:val="baseline"/>
                <w:lang w:val="en-US" w:eastAsia="zh-CN" w:bidi="ar-SA"/>
              </w:rPr>
            </w:pPr>
            <w:r>
              <w:rPr>
                <w:rFonts w:hint="eastAsia" w:ascii="Times New Roman" w:hAnsi="Times New Roman" w:eastAsia="黑体" w:cs="黑体"/>
                <w:sz w:val="28"/>
                <w:szCs w:val="28"/>
                <w:u w:val="none"/>
                <w:vertAlign w:val="baseline"/>
                <w:lang w:val="en-US" w:eastAsia="zh-CN"/>
              </w:rPr>
              <w:t>事故（险情）处置</w:t>
            </w:r>
          </w:p>
        </w:tc>
        <w:tc>
          <w:tcPr>
            <w:tcW w:w="7211" w:type="dxa"/>
            <w:noWrap w:val="0"/>
            <w:vAlign w:val="top"/>
          </w:tcPr>
          <w:p w14:paraId="3B4A21A0">
            <w:pPr>
              <w:keepNext w:val="0"/>
              <w:keepLines w:val="0"/>
              <w:pageBreakBefore w:val="0"/>
              <w:widowControl w:val="0"/>
              <w:numPr>
                <w:ilvl w:val="0"/>
                <w:numId w:val="7"/>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事故（险情）基本情况</w:t>
            </w:r>
          </w:p>
          <w:p w14:paraId="73A020B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24CAB00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39433EF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12B3E6D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0B4DE6C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678D1F4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0A307415">
            <w:pPr>
              <w:keepNext w:val="0"/>
              <w:keepLines w:val="0"/>
              <w:pageBreakBefore w:val="0"/>
              <w:widowControl w:val="0"/>
              <w:numPr>
                <w:ilvl w:val="0"/>
                <w:numId w:val="7"/>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事故（险情）报告情况</w:t>
            </w:r>
          </w:p>
          <w:p w14:paraId="61328CB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58CE417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13E7F50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1DFF1D5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34B6BA8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074D9FA8">
            <w:pPr>
              <w:keepNext w:val="0"/>
              <w:keepLines w:val="0"/>
              <w:pageBreakBefore w:val="0"/>
              <w:widowControl w:val="0"/>
              <w:numPr>
                <w:ilvl w:val="0"/>
                <w:numId w:val="7"/>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auto"/>
                <w:kern w:val="2"/>
                <w:sz w:val="24"/>
                <w:szCs w:val="24"/>
                <w:u w:val="none"/>
                <w:vertAlign w:val="baseline"/>
                <w:lang w:val="en-US" w:eastAsia="zh-CN" w:bidi="ar-SA"/>
              </w:rPr>
            </w:pPr>
            <w:r>
              <w:rPr>
                <w:rFonts w:hint="eastAsia" w:ascii="Times New Roman" w:hAnsi="Times New Roman" w:eastAsia="仿宋_GB2312" w:cs="仿宋_GB2312"/>
                <w:sz w:val="24"/>
                <w:szCs w:val="24"/>
                <w:u w:val="none"/>
                <w:vertAlign w:val="baseline"/>
                <w:lang w:val="en-US" w:eastAsia="zh-CN"/>
              </w:rPr>
              <w:t>应急处置情况</w:t>
            </w:r>
          </w:p>
          <w:p w14:paraId="0DF521F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72ED434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1E9CD4A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260141D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0394312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6D1FBB0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tc>
      </w:tr>
      <w:tr w14:paraId="21AA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8" w:hRule="atLeast"/>
        </w:trPr>
        <w:tc>
          <w:tcPr>
            <w:tcW w:w="822" w:type="dxa"/>
            <w:noWrap w:val="0"/>
            <w:vAlign w:val="center"/>
          </w:tcPr>
          <w:p w14:paraId="428C95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color w:val="auto"/>
                <w:kern w:val="2"/>
                <w:sz w:val="28"/>
                <w:szCs w:val="28"/>
                <w:u w:val="none"/>
                <w:vertAlign w:val="baseline"/>
                <w:lang w:val="en-US" w:eastAsia="zh-CN" w:bidi="ar-SA"/>
              </w:rPr>
            </w:pPr>
            <w:r>
              <w:rPr>
                <w:rFonts w:hint="eastAsia" w:ascii="Times New Roman" w:hAnsi="Times New Roman" w:eastAsia="黑体" w:cs="黑体"/>
                <w:sz w:val="28"/>
                <w:szCs w:val="28"/>
                <w:u w:val="none"/>
                <w:vertAlign w:val="baseline"/>
                <w:lang w:val="en-US" w:eastAsia="zh-CN"/>
              </w:rPr>
              <w:t>八</w:t>
            </w:r>
          </w:p>
        </w:tc>
        <w:tc>
          <w:tcPr>
            <w:tcW w:w="1028" w:type="dxa"/>
            <w:noWrap w:val="0"/>
            <w:vAlign w:val="center"/>
          </w:tcPr>
          <w:p w14:paraId="2FC950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color w:val="auto"/>
                <w:kern w:val="2"/>
                <w:sz w:val="28"/>
                <w:szCs w:val="28"/>
                <w:u w:val="none"/>
                <w:vertAlign w:val="baseline"/>
                <w:lang w:val="en-US" w:eastAsia="zh-CN" w:bidi="ar-SA"/>
              </w:rPr>
            </w:pPr>
            <w:r>
              <w:rPr>
                <w:rFonts w:hint="eastAsia" w:ascii="Times New Roman" w:hAnsi="Times New Roman" w:eastAsia="黑体" w:cs="黑体"/>
                <w:sz w:val="28"/>
                <w:szCs w:val="28"/>
                <w:u w:val="none"/>
                <w:vertAlign w:val="baseline"/>
                <w:lang w:val="en-US" w:eastAsia="zh-CN"/>
              </w:rPr>
              <w:t>从业人员履职</w:t>
            </w:r>
          </w:p>
        </w:tc>
        <w:tc>
          <w:tcPr>
            <w:tcW w:w="7211" w:type="dxa"/>
            <w:noWrap w:val="0"/>
            <w:vAlign w:val="top"/>
          </w:tcPr>
          <w:p w14:paraId="16FA4742">
            <w:pPr>
              <w:keepNext w:val="0"/>
              <w:keepLines w:val="0"/>
              <w:pageBreakBefore w:val="0"/>
              <w:widowControl w:val="0"/>
              <w:numPr>
                <w:ilvl w:val="0"/>
                <w:numId w:val="8"/>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分包单位安全生产管理人员持证上岗情况</w:t>
            </w:r>
          </w:p>
          <w:p w14:paraId="33528DB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5BB7AAE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0C703AE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397D350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68F13B1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48FDA1B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33C631E4">
            <w:pPr>
              <w:keepNext w:val="0"/>
              <w:keepLines w:val="0"/>
              <w:pageBreakBefore w:val="0"/>
              <w:widowControl w:val="0"/>
              <w:numPr>
                <w:ilvl w:val="0"/>
                <w:numId w:val="8"/>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特种作业人员持证上岗情况</w:t>
            </w:r>
          </w:p>
          <w:p w14:paraId="00D5485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0054C1E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7FE12BB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67A6B08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64917BC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7A1C0C6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5BE53333">
            <w:pPr>
              <w:keepNext w:val="0"/>
              <w:keepLines w:val="0"/>
              <w:pageBreakBefore w:val="0"/>
              <w:widowControl w:val="0"/>
              <w:numPr>
                <w:ilvl w:val="0"/>
                <w:numId w:val="8"/>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制止和纠正违章指挥、强令冒险作业、违反操作规程情况</w:t>
            </w:r>
          </w:p>
          <w:p w14:paraId="44174EA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0C1C03F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eastAsia="仿宋_GB2312" w:cs="仿宋_GB2312"/>
                <w:color w:val="auto"/>
                <w:kern w:val="2"/>
                <w:sz w:val="24"/>
                <w:szCs w:val="24"/>
                <w:u w:val="none"/>
                <w:vertAlign w:val="baseline"/>
                <w:lang w:val="en-US" w:eastAsia="zh-CN" w:bidi="ar-SA"/>
              </w:rPr>
            </w:pPr>
          </w:p>
          <w:p w14:paraId="3E7A94C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eastAsia="仿宋_GB2312" w:cs="仿宋_GB2312"/>
                <w:color w:val="auto"/>
                <w:kern w:val="2"/>
                <w:sz w:val="24"/>
                <w:szCs w:val="24"/>
                <w:u w:val="none"/>
                <w:vertAlign w:val="baseline"/>
                <w:lang w:val="en-US" w:eastAsia="zh-CN" w:bidi="ar-SA"/>
              </w:rPr>
            </w:pPr>
          </w:p>
          <w:p w14:paraId="7FB4AA8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eastAsia="仿宋_GB2312" w:cs="仿宋_GB2312"/>
                <w:color w:val="auto"/>
                <w:kern w:val="2"/>
                <w:sz w:val="24"/>
                <w:szCs w:val="24"/>
                <w:u w:val="none"/>
                <w:vertAlign w:val="baseline"/>
                <w:lang w:val="en-US" w:eastAsia="zh-CN" w:bidi="ar-SA"/>
              </w:rPr>
            </w:pPr>
          </w:p>
          <w:p w14:paraId="242F572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eastAsia="仿宋_GB2312" w:cs="仿宋_GB2312"/>
                <w:color w:val="auto"/>
                <w:kern w:val="2"/>
                <w:sz w:val="24"/>
                <w:szCs w:val="24"/>
                <w:u w:val="none"/>
                <w:vertAlign w:val="baseline"/>
                <w:lang w:val="en-US" w:eastAsia="zh-CN" w:bidi="ar-SA"/>
              </w:rPr>
            </w:pPr>
          </w:p>
          <w:p w14:paraId="155F80F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eastAsia="仿宋_GB2312" w:cs="仿宋_GB2312"/>
                <w:color w:val="auto"/>
                <w:kern w:val="2"/>
                <w:sz w:val="24"/>
                <w:szCs w:val="24"/>
                <w:u w:val="none"/>
                <w:vertAlign w:val="baseline"/>
                <w:lang w:val="en-US" w:eastAsia="zh-CN" w:bidi="ar-SA"/>
              </w:rPr>
            </w:pPr>
          </w:p>
        </w:tc>
      </w:tr>
      <w:tr w14:paraId="2D95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822" w:type="dxa"/>
            <w:noWrap w:val="0"/>
            <w:vAlign w:val="center"/>
          </w:tcPr>
          <w:p w14:paraId="524F4B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r>
              <w:rPr>
                <w:rFonts w:hint="eastAsia" w:ascii="Times New Roman" w:hAnsi="Times New Roman" w:eastAsia="黑体" w:cs="黑体"/>
                <w:sz w:val="28"/>
                <w:szCs w:val="28"/>
                <w:u w:val="none"/>
                <w:vertAlign w:val="baseline"/>
                <w:lang w:val="en-US" w:eastAsia="zh-CN"/>
              </w:rPr>
              <w:t>九</w:t>
            </w:r>
          </w:p>
        </w:tc>
        <w:tc>
          <w:tcPr>
            <w:tcW w:w="1028" w:type="dxa"/>
            <w:noWrap w:val="0"/>
            <w:vAlign w:val="center"/>
          </w:tcPr>
          <w:p w14:paraId="36EB05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8"/>
                <w:szCs w:val="28"/>
                <w:u w:val="none"/>
                <w:vertAlign w:val="baseline"/>
                <w:lang w:val="en-US" w:eastAsia="zh-CN"/>
              </w:rPr>
            </w:pPr>
            <w:r>
              <w:rPr>
                <w:rFonts w:hint="eastAsia" w:ascii="Times New Roman" w:hAnsi="Times New Roman" w:eastAsia="黑体" w:cs="黑体"/>
                <w:sz w:val="28"/>
                <w:szCs w:val="28"/>
                <w:u w:val="none"/>
                <w:vertAlign w:val="baseline"/>
                <w:lang w:val="en-US" w:eastAsia="zh-CN"/>
              </w:rPr>
              <w:t>其它安全管理</w:t>
            </w:r>
          </w:p>
        </w:tc>
        <w:tc>
          <w:tcPr>
            <w:tcW w:w="7211" w:type="dxa"/>
            <w:noWrap w:val="0"/>
            <w:vAlign w:val="top"/>
          </w:tcPr>
          <w:p w14:paraId="42D167B4">
            <w:pPr>
              <w:keepNext w:val="0"/>
              <w:keepLines w:val="0"/>
              <w:pageBreakBefore w:val="0"/>
              <w:widowControl w:val="0"/>
              <w:numPr>
                <w:ilvl w:val="0"/>
                <w:numId w:val="9"/>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项目关键岗位人员请假情况</w:t>
            </w:r>
          </w:p>
          <w:p w14:paraId="1D0FCA9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6B69663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0BE8C09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5C78F60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519633D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6944C5A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4"/>
                <w:szCs w:val="24"/>
                <w:u w:val="none"/>
                <w:vertAlign w:val="baseline"/>
                <w:lang w:val="en-US" w:eastAsia="zh-CN"/>
              </w:rPr>
            </w:pPr>
          </w:p>
          <w:p w14:paraId="21C41C19">
            <w:pPr>
              <w:keepNext w:val="0"/>
              <w:keepLines w:val="0"/>
              <w:pageBreakBefore w:val="0"/>
              <w:widowControl w:val="0"/>
              <w:numPr>
                <w:ilvl w:val="0"/>
                <w:numId w:val="9"/>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eastAsia="仿宋_GB2312" w:cs="仿宋_GB2312"/>
                <w:sz w:val="24"/>
                <w:szCs w:val="24"/>
                <w:u w:val="none"/>
                <w:vertAlign w:val="baseline"/>
                <w:lang w:val="en-US" w:eastAsia="zh-CN"/>
              </w:rPr>
            </w:pPr>
            <w:r>
              <w:rPr>
                <w:rFonts w:hint="eastAsia" w:ascii="Times New Roman" w:hAnsi="Times New Roman" w:eastAsia="仿宋_GB2312" w:cs="仿宋_GB2312"/>
                <w:sz w:val="24"/>
                <w:szCs w:val="24"/>
                <w:u w:val="none"/>
                <w:vertAlign w:val="baseline"/>
                <w:lang w:val="en-US" w:eastAsia="zh-CN"/>
              </w:rPr>
              <w:t>是否存在压缩工期或赶工期情况</w:t>
            </w:r>
          </w:p>
          <w:p w14:paraId="080DA24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0C6CC8D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41D1719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5855EC4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39F387F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18423BC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457A38A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p w14:paraId="010D8DF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sz w:val="24"/>
                <w:szCs w:val="24"/>
                <w:u w:val="none"/>
                <w:vertAlign w:val="baseline"/>
                <w:lang w:val="en-US" w:eastAsia="zh-CN"/>
              </w:rPr>
            </w:pPr>
          </w:p>
        </w:tc>
      </w:tr>
    </w:tbl>
    <w:p w14:paraId="3934880A">
      <w:pPr>
        <w:jc w:val="left"/>
        <w:rPr>
          <w:rFonts w:hint="eastAsia" w:ascii="Times New Roman" w:hAnsi="Times New Roman" w:eastAsia="宋体" w:cs="宋体"/>
          <w:sz w:val="24"/>
          <w:szCs w:val="24"/>
          <w:u w:val="none"/>
          <w:lang w:val="en-US" w:eastAsia="zh-CN"/>
        </w:rPr>
      </w:pPr>
    </w:p>
    <w:p w14:paraId="0325293B">
      <w:pPr>
        <w:jc w:val="left"/>
        <w:rPr>
          <w:rFonts w:hint="eastAsia" w:ascii="Times New Roman" w:hAnsi="Times New Roman" w:eastAsia="黑体" w:cs="黑体"/>
          <w:sz w:val="24"/>
          <w:szCs w:val="24"/>
          <w:u w:val="single"/>
          <w:lang w:val="en-US" w:eastAsia="zh-CN"/>
        </w:rPr>
      </w:pPr>
      <w:r>
        <w:rPr>
          <w:rFonts w:hint="eastAsia" w:ascii="Times New Roman" w:hAnsi="Times New Roman" w:eastAsia="黑体" w:cs="黑体"/>
          <w:sz w:val="24"/>
          <w:szCs w:val="24"/>
          <w:u w:val="none"/>
          <w:lang w:val="en-US" w:eastAsia="zh-CN"/>
        </w:rPr>
        <w:t>项目负责人（签字）：</w:t>
      </w:r>
      <w:r>
        <w:rPr>
          <w:rFonts w:hint="eastAsia" w:ascii="Times New Roman" w:hAnsi="Times New Roman" w:eastAsia="黑体" w:cs="黑体"/>
          <w:sz w:val="24"/>
          <w:szCs w:val="24"/>
          <w:u w:val="single"/>
          <w:lang w:val="en-US" w:eastAsia="zh-CN"/>
        </w:rPr>
        <w:t xml:space="preserve">                 </w:t>
      </w:r>
    </w:p>
    <w:p w14:paraId="73BF54C3">
      <w:pPr>
        <w:ind w:firstLine="480" w:firstLineChars="200"/>
        <w:jc w:val="left"/>
        <w:rPr>
          <w:rFonts w:hint="eastAsia" w:ascii="Times New Roman" w:hAnsi="Times New Roman" w:eastAsia="黑体" w:cs="黑体"/>
          <w:sz w:val="24"/>
          <w:szCs w:val="24"/>
          <w:u w:val="none"/>
          <w:lang w:val="en-US" w:eastAsia="zh-CN"/>
        </w:rPr>
      </w:pPr>
    </w:p>
    <w:p w14:paraId="572B8283">
      <w:pPr>
        <w:jc w:val="left"/>
        <w:rPr>
          <w:rFonts w:hint="eastAsia" w:ascii="Times New Roman" w:hAnsi="Times New Roman" w:eastAsia="黑体" w:cs="黑体"/>
          <w:sz w:val="24"/>
          <w:szCs w:val="24"/>
          <w:u w:val="none"/>
          <w:lang w:val="en-US" w:eastAsia="zh-CN"/>
        </w:rPr>
      </w:pPr>
      <w:r>
        <w:rPr>
          <w:rFonts w:hint="eastAsia" w:ascii="Times New Roman" w:hAnsi="Times New Roman" w:eastAsia="黑体" w:cs="黑体"/>
          <w:sz w:val="24"/>
          <w:szCs w:val="24"/>
          <w:u w:val="none"/>
          <w:lang w:val="en-US" w:eastAsia="zh-CN"/>
        </w:rPr>
        <w:t>日期：</w:t>
      </w:r>
      <w:r>
        <w:rPr>
          <w:rFonts w:hint="eastAsia" w:ascii="Times New Roman" w:hAnsi="Times New Roman" w:eastAsia="黑体" w:cs="黑体"/>
          <w:sz w:val="24"/>
          <w:szCs w:val="24"/>
          <w:u w:val="single"/>
          <w:lang w:val="en-US" w:eastAsia="zh-CN"/>
        </w:rPr>
        <w:t xml:space="preserve">         </w:t>
      </w:r>
      <w:r>
        <w:rPr>
          <w:rFonts w:hint="eastAsia" w:ascii="Times New Roman" w:hAnsi="Times New Roman" w:eastAsia="黑体" w:cs="黑体"/>
          <w:sz w:val="24"/>
          <w:szCs w:val="24"/>
          <w:u w:val="none"/>
          <w:lang w:val="en-US" w:eastAsia="zh-CN"/>
        </w:rPr>
        <w:t>年</w:t>
      </w:r>
      <w:r>
        <w:rPr>
          <w:rFonts w:hint="eastAsia" w:ascii="Times New Roman" w:hAnsi="Times New Roman" w:eastAsia="黑体" w:cs="黑体"/>
          <w:sz w:val="24"/>
          <w:szCs w:val="24"/>
          <w:u w:val="single"/>
          <w:lang w:val="en-US" w:eastAsia="zh-CN"/>
        </w:rPr>
        <w:t xml:space="preserve">      </w:t>
      </w:r>
      <w:r>
        <w:rPr>
          <w:rFonts w:hint="eastAsia" w:ascii="Times New Roman" w:hAnsi="Times New Roman" w:eastAsia="黑体" w:cs="黑体"/>
          <w:sz w:val="24"/>
          <w:szCs w:val="24"/>
          <w:u w:val="none"/>
          <w:lang w:val="en-US" w:eastAsia="zh-CN"/>
        </w:rPr>
        <w:t>月</w:t>
      </w:r>
      <w:r>
        <w:rPr>
          <w:rFonts w:hint="eastAsia" w:ascii="Times New Roman" w:hAnsi="Times New Roman" w:eastAsia="黑体" w:cs="黑体"/>
          <w:sz w:val="24"/>
          <w:szCs w:val="24"/>
          <w:u w:val="single"/>
          <w:lang w:val="en-US" w:eastAsia="zh-CN"/>
        </w:rPr>
        <w:t xml:space="preserve">      </w:t>
      </w:r>
      <w:r>
        <w:rPr>
          <w:rFonts w:hint="eastAsia" w:ascii="Times New Roman" w:hAnsi="Times New Roman" w:eastAsia="黑体" w:cs="黑体"/>
          <w:sz w:val="24"/>
          <w:szCs w:val="24"/>
          <w:u w:val="none"/>
          <w:lang w:val="en-US" w:eastAsia="zh-CN"/>
        </w:rPr>
        <w:t>日</w:t>
      </w:r>
    </w:p>
    <w:p w14:paraId="5E748FFE">
      <w:pPr>
        <w:jc w:val="left"/>
        <w:rPr>
          <w:rFonts w:hint="eastAsia" w:ascii="Times New Roman" w:hAnsi="Times New Roman" w:eastAsia="黑体" w:cs="黑体"/>
          <w:sz w:val="24"/>
          <w:szCs w:val="24"/>
          <w:u w:val="none"/>
          <w:lang w:val="en-US" w:eastAsia="zh-CN"/>
        </w:rPr>
      </w:pPr>
    </w:p>
    <w:p w14:paraId="13C1483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填写说明及要求</w:t>
      </w:r>
    </w:p>
    <w:p w14:paraId="74EDBAA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cs="仿宋_GB2312"/>
          <w:sz w:val="32"/>
          <w:szCs w:val="32"/>
        </w:rPr>
      </w:pPr>
    </w:p>
    <w:p w14:paraId="633D8B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一、填写说明</w:t>
      </w:r>
    </w:p>
    <w:p w14:paraId="0F813F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（一）表头信息</w:t>
      </w:r>
    </w:p>
    <w:p w14:paraId="1B306C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应当填写日期、天气情况、项目专职安全生产管理人员及考核合格证书编号等相关信息。</w:t>
      </w:r>
    </w:p>
    <w:p w14:paraId="1EFDF8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（二）今日施工内容</w:t>
      </w:r>
    </w:p>
    <w:p w14:paraId="7D936D9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应当填写项目当日施工的单位工程和分部分项工程名称、层段位置，施工作业班组、人数及进度情况等信息。</w:t>
      </w:r>
    </w:p>
    <w:p w14:paraId="7FD6A0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（三）今日检查记录</w:t>
      </w:r>
    </w:p>
    <w:p w14:paraId="6C58C8E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1.岗前巡查</w:t>
      </w:r>
    </w:p>
    <w:p w14:paraId="5972E9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（1）安全防护</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应当填写检查时间、检查区域、存在问题、整改落实责任人、整改完成时间、计划复查时间等，要做到先防护后施工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安全防护检查内容应至少包括：个人劳保防护用品，高处作业及临边洞口安全防护措施，电气具安全防护装置等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对于岗前排查出的安全防护问题，必须在当日班前晨会予以整改落实，整改完成后方可进行施工作业。</w:t>
      </w:r>
    </w:p>
    <w:p w14:paraId="306C63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（2）施工现场临时用电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应当填写检查时间、检查区域、存在问题、整改落实责任人、整改完成时间、计划复查时间等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施工现场临时用电检查内容应至少包括：配电箱、开关箱是否满足“三级配电、两级保护”、“一机一闸、一箱一漏”，电缆线架空或拖地使用情况，电气具漏电保护情况，是否存在私搭乱接现象等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对于排查出的临时用电安全隐患问题，应立即组织整改，整改完成后方可进行施工作业。</w:t>
      </w:r>
    </w:p>
    <w:p w14:paraId="6A16A1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（3）施工消防</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应当填写检查时间、检查区域、存在问题、整改落实责任人、整改完成时间、计划复查时间等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施工消防检查内容应至少包括：应急消防器材配备情况（含消防栓和灭火器等），动火作业消防器材配备情况，逃生路线、通道畅通情况，现场可燃易燃材料或易燃易爆品存放及使用情况等。</w:t>
      </w:r>
    </w:p>
    <w:p w14:paraId="145C74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（4）危大工程</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根据实际情况，依据《住房城乡建设部办公厅关于实施〈危险性较大的分部分项工程安全管理规定〉有关问题的通知》（建办质〔2018〕31号）规定，对项目施工前的作业环境、安全防护、保证措施等进行检查，检查内容按照“三定原则”如实填写。</w:t>
      </w:r>
    </w:p>
    <w:p w14:paraId="2E89069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2.岗前教育</w:t>
      </w:r>
    </w:p>
    <w:p w14:paraId="7CE7E0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（1）班前喊话情况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应当填写受教育人员所在班组名称、各班组受教育人数、教育人姓名、开展安全教育的时间地点等信息。</w:t>
      </w:r>
    </w:p>
    <w:p w14:paraId="4BEB8B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（2）告知施工作业人员危险事项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各班组根据岗位特点，填写提前告知施工作业人员危险事项和安全隐患点。每日上岗前进行安全风险提醒、如何做好安全防护等，确保施工作业人员自觉遵守安全操作规程，保护自身安全。</w:t>
      </w:r>
    </w:p>
    <w:p w14:paraId="44CFB42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（3）检查安全防护用品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上岗前，检查安全防护用具和安全防护服装，如安全帽、安全带、工作服、工作鞋、防护手套等劳动防护用品佩戴情况；检查当天所用的劳动用品、电动工具、临时用电线路等情况</w:t>
      </w:r>
      <w:r>
        <w:rPr>
          <w:rFonts w:hint="eastAsia" w:ascii="Times New Roman" w:hAnsi="Times New Roman" w:eastAsia="仿宋_GB2312" w:cs="仿宋_GB2312"/>
          <w:sz w:val="32"/>
          <w:szCs w:val="32"/>
          <w:lang w:eastAsia="zh-CN"/>
        </w:rPr>
        <w:t>：</w:t>
      </w:r>
    </w:p>
    <w:p w14:paraId="70143B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（4）检查施工作业人员身体状况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检查当日拟作业人员的身体</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心理状况</w:t>
      </w:r>
      <w:r>
        <w:rPr>
          <w:rFonts w:hint="eastAsia" w:ascii="Times New Roman" w:hAnsi="Times New Roman" w:eastAsia="仿宋_GB2312" w:cs="仿宋_GB2312"/>
          <w:sz w:val="32"/>
          <w:szCs w:val="32"/>
          <w:lang w:eastAsia="zh-CN"/>
        </w:rPr>
        <w:t>和高原环境适应情况</w:t>
      </w:r>
      <w:r>
        <w:rPr>
          <w:rFonts w:hint="eastAsia" w:ascii="Times New Roman" w:hAnsi="Times New Roman" w:eastAsia="仿宋_GB2312" w:cs="仿宋_GB2312"/>
          <w:sz w:val="32"/>
          <w:szCs w:val="32"/>
        </w:rPr>
        <w:t>，对身体状况不好或因饮酒和药物影响的人员要采取禁止上岗的管理措施。对如年纪过大，或有</w:t>
      </w:r>
      <w:r>
        <w:rPr>
          <w:rFonts w:hint="eastAsia" w:ascii="Times New Roman" w:hAnsi="Times New Roman" w:eastAsia="仿宋_GB2312" w:cs="仿宋_GB2312"/>
          <w:sz w:val="32"/>
          <w:szCs w:val="32"/>
          <w:lang w:eastAsia="zh-CN"/>
        </w:rPr>
        <w:t>高原反应、</w:t>
      </w:r>
      <w:r>
        <w:rPr>
          <w:rFonts w:hint="eastAsia" w:ascii="Times New Roman" w:hAnsi="Times New Roman" w:eastAsia="仿宋_GB2312" w:cs="仿宋_GB2312"/>
          <w:sz w:val="32"/>
          <w:szCs w:val="32"/>
        </w:rPr>
        <w:t>高血压等心脑血管病史的人员，不能让其从事高空、高温、高湿、隧道、有限密闭空间等作业，或其他影响身体健康的工作。</w:t>
      </w:r>
    </w:p>
    <w:p w14:paraId="6B2473A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3.危大工程</w:t>
      </w:r>
    </w:p>
    <w:p w14:paraId="51405D7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（1）今日实施的危大工程</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当日实施的危大工程，应当逐项填写工程名称以及涉及部位、主要特征等内容。工程名称应当根据《住房城乡建设部办公厅关于实施〈危险性较大的分部分项工程安全管理规定〉有关问题的通知》（建办质〔2018〕31号）规定的范围填写；“涉及部位”应当填写危大工程施工的部位信息，如XX单体XX层或XX标高～XX标高、XX轴～XX轴等；“主要特征”应当填写危大工程的特征信息，如模板高度、跨度、荷载（设计值）和基坑深度等。</w:t>
      </w:r>
    </w:p>
    <w:p w14:paraId="3F46D8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（2）各危大工程作业前专项施工方案及安全技术交底情况</w:t>
      </w:r>
      <w:r>
        <w:rPr>
          <w:rFonts w:hint="eastAsia" w:ascii="Times New Roman" w:hAnsi="Times New Roman" w:eastAsia="仿宋_GB2312" w:cs="仿宋_GB2312"/>
          <w:sz w:val="32"/>
          <w:szCs w:val="32"/>
          <w:lang w:eastAsia="zh-CN"/>
        </w:rPr>
        <w:t>：</w:t>
      </w:r>
    </w:p>
    <w:p w14:paraId="5B0BE2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①专项施工方案交底情况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对项目当日实施的危大工程，应当逐项填写专项施工方案编制人员或者项目技术负责人向施工现场管理人员进行方案交底的情况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项目专职安全生产管理人员检查发现专项施工方案编制人员或者项目技术负责人未按规定在危大工程作业前向施工现场管理人员进行方案交底的，应当记录违法违规行为的具体情形、违规人员信息和整改结果。当日整改工作未完成的，应当注明“整改工作未完成”。</w:t>
      </w:r>
    </w:p>
    <w:p w14:paraId="4BA7FDE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②安全技术交底情况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对项目当日实施的危大工程，应当逐项填写施工现场管理人员向作业人员进行安全技术交底的情况，并注明安全技术交底是否由双方和项目专职安全生产管理人员共同签字确认</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项目专职安全生产管理人员检查发现施工现场管理人员未按规定在危大工程作业前向作业人员进行安全技术交底的，应当记录违法违规行为的具体情形、违规人员信息和整改结果。当日整改工作未完成的，应当注明“整改工作未完成”。</w:t>
      </w:r>
    </w:p>
    <w:p w14:paraId="40523E1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（3）对照相关标准规范、危大工程专项施工方案，检查执行情况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对项目当日实施作业的危大工程，应当对照相关标准规范、专项施工方案，填写检查专项施工方案执行的有关情况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项目专职安全生产管理人员检查发现危大工程未按照专项施工方案施工的，应当填写是否已要求立即整改并及时报告项目负责人，项目负责人是否及时组织限期整改等情况。当日整改工作未完成的，应当注明“整改工作未完成”。</w:t>
      </w:r>
    </w:p>
    <w:p w14:paraId="69BD12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（4）各危大工程施工安全生产检查情况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对项目当日实施作业的危大工程，应当逐项填写施工单位进行施工安全生产检查情况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项目专职安全生产管理人员检查发现危及人身安全的紧急情况的，应当注明是否已立即组织作业人员撤离危险区域，并如实记录紧急情况处置责任人、处置措施、处置结果等。当日处置工作未完成的，应当注明“处置工作未完成”。</w:t>
      </w:r>
    </w:p>
    <w:p w14:paraId="079458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（5）各危大工程第三方监测情况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项目当日实施作业的按照规定需要进行第三方监测的危大工程，如第三方监测单位发现异常情况的，应当填写第三方监测单位向施工单位报告的具体时间、异常情形和异常情况的处置责任人、处置措施、处置结果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第三方监测单位发现异常情况但未按要求向施工单位报告的，应当记录违法违规行为的具体情形。当日处置工作未完成的，应当注明“处置工作未完成”。</w:t>
      </w:r>
    </w:p>
    <w:p w14:paraId="76E945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（6）各危大工程验收情况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项目当日按照规定需要验收的危大工程，应当逐项填写验收情况。验收合格的，应当注明是否经施工单位项目技术负责人及总监理工程师签字确认，是否在确认后方可进入下一道工序，以及验收合格后施工单位是否在施工现场明显位置设置验收标识牌，公示验收时间及责任人员</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项目当日按照规定需要验收的危大工程，项目专职安全生产管理人员检查发现危大工程未按规定进行验收的，如有关人员未签字确认、未验收或未签字确认违规进入下一道工序、未按规定设置验收标识牌等，应当记录违法违规行为的具体情形、违规人员信息和整改结果。当日整改工作未完成的，应当注明“整改工作未完成”。</w:t>
      </w:r>
    </w:p>
    <w:p w14:paraId="477A271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4.现场高风险作业</w:t>
      </w:r>
    </w:p>
    <w:p w14:paraId="33ECD2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（1）今日现场实施的高风险作业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应当逐项填写当日施工现场实施的高风险作业，包括高处作业、施工临时用电、有限空间作业、拆除作业、大体积混凝土浇筑作业、上下交叉作业、动火作业等。</w:t>
      </w:r>
    </w:p>
    <w:p w14:paraId="2A6F9B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（2）检查今日实施高风险作业的安全管控措施情况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应当填写检查当日实施高风险作业的安全管控措施。</w:t>
      </w:r>
    </w:p>
    <w:p w14:paraId="0180F67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5.重大事故隐患排查治理</w:t>
      </w:r>
    </w:p>
    <w:p w14:paraId="12CCD3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今日排查新发现的重大事故隐患治理情况（含已发现但仍未消除的重大事故隐患整改进展情况）</w:t>
      </w:r>
      <w:r>
        <w:rPr>
          <w:rFonts w:hint="eastAsia" w:ascii="Times New Roman" w:hAnsi="Times New Roman" w:eastAsia="仿宋_GB2312" w:cs="仿宋_GB2312"/>
          <w:sz w:val="32"/>
          <w:szCs w:val="32"/>
          <w:lang w:eastAsia="zh-CN"/>
        </w:rPr>
        <w:t>。</w:t>
      </w:r>
    </w:p>
    <w:p w14:paraId="4D36B0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对项目当日排查发现的重大事故隐患，应当逐项填写重大事故隐患情形、隐患所处部位、整改责任人、整改措施、整改结果等信息</w:t>
      </w:r>
      <w:r>
        <w:rPr>
          <w:rFonts w:hint="eastAsia" w:ascii="Times New Roman" w:hAnsi="Times New Roman" w:eastAsia="仿宋_GB2312" w:cs="仿宋_GB2312"/>
          <w:sz w:val="32"/>
          <w:szCs w:val="32"/>
          <w:lang w:eastAsia="zh-CN"/>
        </w:rPr>
        <w:t>。</w:t>
      </w:r>
    </w:p>
    <w:p w14:paraId="08AA00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其中隐患情形应当符合《房屋市政工程生产安全重大事故隐患判定标准（2024版）》（建质规〔2024〕5号）的规定；整改责任人应当为施工单位主要负责人和项目负责人；整改措施应当有较强的针对性和可操作性；整改结果应当如实记录。当日重大事故隐患整改工作未完成的，应当注明“整改工作未完成”。</w:t>
      </w:r>
    </w:p>
    <w:p w14:paraId="23A6E0E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对已排查发现的重大事故隐患，且在前期施工安全日志中有记录，相关整改工作未完成的，应当逐项每日跟踪记录整改进展情况，直至整改工作完成，确保闭环。</w:t>
      </w:r>
    </w:p>
    <w:p w14:paraId="094C14B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6.一般隐患排查治理</w:t>
      </w:r>
    </w:p>
    <w:p w14:paraId="19B0BC0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今日排查新发现的一般隐患治理情况（含已发现但仍未消除的一般隐患整改进展情况）</w:t>
      </w:r>
    </w:p>
    <w:p w14:paraId="11C2CE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当日项目专职安全生产管理人员检查发现的危大工程、高处作业、临时用电、交叉作业等各类事故隐患（不含重大事故隐患），应当逐项填写隐患情形、所处部位，隐患整改责任人、整改措施、整改结果等。整改措施应当有较强的针对性和可操作性。整改结果应当如实记录。当日隐患整改工作未完成的，应当注明“整改工作未完成”。</w:t>
      </w:r>
    </w:p>
    <w:p w14:paraId="066CBC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对施工安全日志中已有记录，但仍整改未完成的隐患，应当逐项每日跟踪记录整改进展情况，直至整改工作完成，确保闭环。</w:t>
      </w:r>
    </w:p>
    <w:p w14:paraId="78331DF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7.事故（险情）处置</w:t>
      </w:r>
    </w:p>
    <w:p w14:paraId="7955F2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项目当日发生生产安全事故（险情）的，应当填写以下信息：</w:t>
      </w:r>
    </w:p>
    <w:p w14:paraId="3A6AD8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（1）事故（险情）基本情况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包括发生的时间（具体到分钟）、施工部位、发生时的施工和作业人员情况、简要经过、已经造成或者可能造成的伤亡人数（包括下落不明的人数）等。</w:t>
      </w:r>
    </w:p>
    <w:p w14:paraId="60A158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（2）事故（险情）报告情况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包括现场有关人员向施工单位主要负责人报告的时间（具体到分钟）；施工单位主要负责人或者项目负责人向工程所在地住房城乡建设主管部门报告的时间（具体到分钟）。</w:t>
      </w:r>
    </w:p>
    <w:p w14:paraId="09249F0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（3）应急处置情况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包括施工单位是否立即启动应急预案；施工单位应急处置责任人；处置措施和处置结果，如组织抢救遇险人员、组织现场人员撤离、采取必要措施防止事故危害扩大和次生、衍生灾害发生、维护事故现场秩序、保护事故现场和相关证据等情况。当日事故应急处置工作未完成的，应当注明“应急处置工作未完成”。</w:t>
      </w:r>
    </w:p>
    <w:p w14:paraId="4EA655E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8.从业人员履职</w:t>
      </w:r>
    </w:p>
    <w:p w14:paraId="2FCF96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（1）分包单位安全生产管理人员持证上岗情况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当日项目专职安全生产管理人员检查发现的专业分包单位、劳务分包单位的项目负责人和专职安全生产管理人员存在无证、持假证、持失效证书上岗等违法行为，应当记录违法行为的具体情形，并在当日“重大事故隐患排查治理情况”中记录违法人员信息及处理结果。</w:t>
      </w:r>
    </w:p>
    <w:p w14:paraId="2DDC0D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（2）特种作业人员持证上岗情况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当日项目专职安全生产管理人员检查发现的特种作业人员存在无证、持假证、持失效证书上岗等违法行为，应当记录违法行为的具体情形，并在当日“重大事故隐患排查治理情况”中记录违法人员信息及处理结果。</w:t>
      </w:r>
    </w:p>
    <w:p w14:paraId="0641FF3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（3）制止和纠正违章指挥、强令冒险作业、违反操作规程情况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对当日项目专职安全生产管理人员检查发现的从业人员违章指挥、强令冒险作业、违反操作规程等危及施工作业安全的行为，应当记录违法违规行为的具体情形、违法人员信息和处理结果。</w:t>
      </w:r>
    </w:p>
    <w:p w14:paraId="06521F1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9.其他安全管理</w:t>
      </w:r>
    </w:p>
    <w:p w14:paraId="0DB336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（1）项目关键岗位人员请假情况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应当如实填写当日项目负责人、项目安全负责人、项目专职安全员以及相关管理人员、技术人员的请假情况。</w:t>
      </w:r>
    </w:p>
    <w:p w14:paraId="4EE118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（2）是否存在压缩工期或赶工期情况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检查当日工程项目在施工过程中，如果存在压缩工期或赶工期情况，应当如实填写；如果没有，则填无。</w:t>
      </w:r>
    </w:p>
    <w:p w14:paraId="0C812F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二、填写要求</w:t>
      </w:r>
    </w:p>
    <w:p w14:paraId="2202721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（一）施工安全日志由项目专职安全生产管理人员每日填写。填写应当字迹清晰，不能随意涂改。</w:t>
      </w:r>
    </w:p>
    <w:p w14:paraId="13B494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项目配备多名专职安全生产管理人员的，各专职安全生产管理人员应当分别记录，签名后上报项目负责人。</w:t>
      </w:r>
    </w:p>
    <w:p w14:paraId="359250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（二）施工安全日志应当由项目负责人签字确认。</w:t>
      </w:r>
    </w:p>
    <w:p w14:paraId="0D3533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项目当日存在下列情形之一的，还应当由项目负责人签字确认：</w:t>
      </w:r>
    </w:p>
    <w:p w14:paraId="5F63D4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1.存在危大工程或超危大工程施工的；</w:t>
      </w:r>
    </w:p>
    <w:p w14:paraId="757C42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2.检查发现存在重大事故隐患的；</w:t>
      </w:r>
    </w:p>
    <w:p w14:paraId="52D73B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3.住房城乡建设主管部门及有关部门下发限期整改通知书、停工整改通知书或行政处罚决定书的；</w:t>
      </w:r>
    </w:p>
    <w:p w14:paraId="633F27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4.发生生产安全事故（险情）的。</w:t>
      </w:r>
    </w:p>
    <w:p w14:paraId="7DC7D2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（三）施工安全日志应当记录关键要点，并描述清楚。</w:t>
      </w:r>
    </w:p>
    <w:p w14:paraId="0BDD30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（四）隐患问题整改和应急处置填写应当做到内容完整，逻辑清晰，形成闭环。</w:t>
      </w:r>
    </w:p>
    <w:p w14:paraId="6EE63F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对排查发现的重大事故隐患，施工单位还应当建立专门台账，明确隐患整改责任、措施、资金、时限、预案，完成一项，销号一项。</w:t>
      </w:r>
    </w:p>
    <w:p w14:paraId="19F801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（五）施工安全日志应当每日记录，不得后补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因应急处置、事故调查等特殊情况无法当日填写的，应在24小时内补记并说明原因</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记录时间从项目开工之日起到竣工验收合格之日止，逐日记载、不得随意中断。施工中止的，应当加以说明，可在停工前最后一天或复工后第一天的日志中描述清楚。</w:t>
      </w:r>
    </w:p>
    <w:p w14:paraId="27CB18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（六）施工单位应当按月收集、归档项目专职安全生产管理人员的施工安全日志。</w:t>
      </w:r>
    </w:p>
    <w:p w14:paraId="1597D335">
      <w:pPr>
        <w:jc w:val="left"/>
        <w:rPr>
          <w:rFonts w:hint="eastAsia" w:ascii="Times New Roman" w:hAnsi="Times New Roman" w:eastAsia="黑体" w:cs="黑体"/>
          <w:sz w:val="32"/>
          <w:szCs w:val="32"/>
          <w:u w:val="none"/>
          <w:lang w:val="en-US" w:eastAsia="zh-CN"/>
        </w:rPr>
      </w:pPr>
    </w:p>
    <w:p w14:paraId="76B64032">
      <w:pPr>
        <w:pStyle w:val="9"/>
        <w:rPr>
          <w:rFonts w:hint="eastAsia" w:ascii="Times New Roman" w:hAnsi="Times New Roman"/>
          <w:lang w:val="en-US" w:eastAsia="zh-CN"/>
        </w:rPr>
      </w:pPr>
    </w:p>
    <w:p w14:paraId="5A125F32">
      <w:pPr>
        <w:pStyle w:val="9"/>
        <w:rPr>
          <w:rFonts w:hint="eastAsia" w:ascii="Times New Roman" w:hAnsi="Times New Roman"/>
          <w:lang w:val="en-US" w:eastAsia="zh-CN"/>
        </w:rPr>
      </w:pPr>
    </w:p>
    <w:p w14:paraId="36146D1E">
      <w:pPr>
        <w:pStyle w:val="9"/>
        <w:rPr>
          <w:rFonts w:hint="eastAsia" w:ascii="Times New Roman" w:hAnsi="Times New Roman"/>
          <w:lang w:val="en-US" w:eastAsia="zh-CN"/>
        </w:rPr>
      </w:pPr>
    </w:p>
    <w:p w14:paraId="5C574CE0">
      <w:pPr>
        <w:pStyle w:val="9"/>
        <w:rPr>
          <w:rFonts w:hint="eastAsia" w:ascii="Times New Roman" w:hAnsi="Times New Roman"/>
          <w:lang w:val="en-US" w:eastAsia="zh-CN"/>
        </w:rPr>
      </w:pPr>
    </w:p>
    <w:p w14:paraId="33D894CB">
      <w:pPr>
        <w:pStyle w:val="9"/>
        <w:rPr>
          <w:rFonts w:hint="eastAsia" w:ascii="Times New Roman" w:hAnsi="Times New Roman"/>
          <w:lang w:val="en-US" w:eastAsia="zh-CN"/>
        </w:rPr>
      </w:pPr>
    </w:p>
    <w:p w14:paraId="534E8C4E">
      <w:pPr>
        <w:pStyle w:val="9"/>
        <w:rPr>
          <w:rFonts w:hint="eastAsia" w:ascii="Times New Roman" w:hAnsi="Times New Roman"/>
          <w:lang w:val="en-US" w:eastAsia="zh-CN"/>
        </w:rPr>
      </w:pPr>
    </w:p>
    <w:p w14:paraId="0087C88A">
      <w:pPr>
        <w:pStyle w:val="9"/>
        <w:rPr>
          <w:rFonts w:hint="eastAsia" w:ascii="Times New Roman" w:hAnsi="Times New Roman"/>
          <w:lang w:val="en-US" w:eastAsia="zh-CN"/>
        </w:rPr>
      </w:pPr>
    </w:p>
    <w:p w14:paraId="27239B1D">
      <w:pPr>
        <w:pStyle w:val="9"/>
        <w:rPr>
          <w:rFonts w:hint="eastAsia" w:ascii="Times New Roman" w:hAnsi="Times New Roman"/>
          <w:lang w:val="en-US" w:eastAsia="zh-CN"/>
        </w:rPr>
      </w:pPr>
    </w:p>
    <w:p w14:paraId="2C9CA72E">
      <w:pPr>
        <w:pStyle w:val="9"/>
        <w:rPr>
          <w:rFonts w:hint="eastAsia" w:ascii="Times New Roman" w:hAnsi="Times New Roman"/>
          <w:lang w:val="en-US" w:eastAsia="zh-CN"/>
        </w:rPr>
      </w:pPr>
    </w:p>
    <w:p w14:paraId="72BCAEA9">
      <w:pPr>
        <w:pStyle w:val="9"/>
        <w:rPr>
          <w:rFonts w:hint="eastAsia" w:ascii="Times New Roman" w:hAnsi="Times New Roman"/>
          <w:lang w:val="en-US" w:eastAsia="zh-CN"/>
        </w:rPr>
      </w:pPr>
    </w:p>
    <w:p w14:paraId="01F81C12">
      <w:pPr>
        <w:pStyle w:val="9"/>
        <w:rPr>
          <w:rFonts w:hint="eastAsia" w:ascii="Times New Roman" w:hAnsi="Times New Roman"/>
          <w:lang w:val="en-US" w:eastAsia="zh-CN"/>
        </w:rPr>
      </w:pPr>
    </w:p>
    <w:p w14:paraId="7B4D4611">
      <w:pPr>
        <w:pStyle w:val="9"/>
        <w:rPr>
          <w:rFonts w:hint="eastAsia" w:ascii="Times New Roman" w:hAnsi="Times New Roman"/>
          <w:lang w:val="en-US" w:eastAsia="zh-CN"/>
        </w:rPr>
      </w:pPr>
    </w:p>
    <w:p w14:paraId="7C36A1C6">
      <w:pPr>
        <w:pStyle w:val="9"/>
        <w:rPr>
          <w:rFonts w:hint="eastAsia" w:ascii="Times New Roman" w:hAnsi="Times New Roman"/>
          <w:lang w:val="en-US" w:eastAsia="zh-CN"/>
        </w:rPr>
      </w:pPr>
    </w:p>
    <w:p w14:paraId="5613EA82">
      <w:pPr>
        <w:pStyle w:val="9"/>
        <w:rPr>
          <w:rFonts w:hint="eastAsia" w:ascii="Times New Roman" w:hAnsi="Times New Roman"/>
          <w:lang w:val="en-US" w:eastAsia="zh-CN"/>
        </w:rPr>
      </w:pPr>
    </w:p>
    <w:p w14:paraId="4610051A">
      <w:pPr>
        <w:pStyle w:val="9"/>
        <w:rPr>
          <w:rFonts w:hint="eastAsia" w:ascii="Times New Roman" w:hAnsi="Times New Roman"/>
          <w:lang w:val="en-US" w:eastAsia="zh-CN"/>
        </w:rPr>
      </w:pPr>
    </w:p>
    <w:p w14:paraId="5E407F6B">
      <w:pPr>
        <w:pStyle w:val="9"/>
        <w:rPr>
          <w:rFonts w:hint="eastAsia" w:ascii="Times New Roman" w:hAnsi="Times New Roman"/>
          <w:lang w:val="en-US" w:eastAsia="zh-CN"/>
        </w:rPr>
      </w:pPr>
    </w:p>
    <w:p w14:paraId="0A0D3AFD">
      <w:pPr>
        <w:pStyle w:val="9"/>
        <w:rPr>
          <w:rFonts w:hint="eastAsia" w:ascii="Times New Roman" w:hAnsi="Times New Roman"/>
          <w:lang w:val="en-US" w:eastAsia="zh-CN"/>
        </w:rPr>
      </w:pPr>
    </w:p>
    <w:p w14:paraId="79A705E1">
      <w:pPr>
        <w:pStyle w:val="9"/>
        <w:rPr>
          <w:rFonts w:hint="eastAsia" w:ascii="Times New Roman" w:hAnsi="Times New Roman"/>
          <w:lang w:val="en-US" w:eastAsia="zh-CN"/>
        </w:rPr>
      </w:pPr>
    </w:p>
    <w:p w14:paraId="5EF0AB2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8D66F"/>
    <w:multiLevelType w:val="singleLevel"/>
    <w:tmpl w:val="BBF8D66F"/>
    <w:lvl w:ilvl="0" w:tentative="0">
      <w:start w:val="1"/>
      <w:numFmt w:val="chineseCounting"/>
      <w:suff w:val="nothing"/>
      <w:lvlText w:val="（%1）"/>
      <w:lvlJc w:val="left"/>
      <w:rPr>
        <w:rFonts w:hint="eastAsia"/>
      </w:rPr>
    </w:lvl>
  </w:abstractNum>
  <w:abstractNum w:abstractNumId="1">
    <w:nsid w:val="BDF7EDA7"/>
    <w:multiLevelType w:val="singleLevel"/>
    <w:tmpl w:val="BDF7EDA7"/>
    <w:lvl w:ilvl="0" w:tentative="0">
      <w:start w:val="1"/>
      <w:numFmt w:val="chineseCounting"/>
      <w:suff w:val="nothing"/>
      <w:lvlText w:val="（%1）"/>
      <w:lvlJc w:val="left"/>
      <w:rPr>
        <w:rFonts w:hint="eastAsia"/>
      </w:rPr>
    </w:lvl>
  </w:abstractNum>
  <w:abstractNum w:abstractNumId="2">
    <w:nsid w:val="BF7D27F2"/>
    <w:multiLevelType w:val="singleLevel"/>
    <w:tmpl w:val="BF7D27F2"/>
    <w:lvl w:ilvl="0" w:tentative="0">
      <w:start w:val="1"/>
      <w:numFmt w:val="chineseCounting"/>
      <w:suff w:val="nothing"/>
      <w:lvlText w:val="（%1）"/>
      <w:lvlJc w:val="left"/>
      <w:rPr>
        <w:rFonts w:hint="eastAsia"/>
      </w:rPr>
    </w:lvl>
  </w:abstractNum>
  <w:abstractNum w:abstractNumId="3">
    <w:nsid w:val="DBCBA85D"/>
    <w:multiLevelType w:val="singleLevel"/>
    <w:tmpl w:val="DBCBA85D"/>
    <w:lvl w:ilvl="0" w:tentative="0">
      <w:start w:val="4"/>
      <w:numFmt w:val="chineseCounting"/>
      <w:suff w:val="nothing"/>
      <w:lvlText w:val="（%1）"/>
      <w:lvlJc w:val="left"/>
      <w:rPr>
        <w:rFonts w:hint="eastAsia"/>
      </w:rPr>
    </w:lvl>
  </w:abstractNum>
  <w:abstractNum w:abstractNumId="4">
    <w:nsid w:val="EEFFA328"/>
    <w:multiLevelType w:val="singleLevel"/>
    <w:tmpl w:val="EEFFA328"/>
    <w:lvl w:ilvl="0" w:tentative="0">
      <w:start w:val="1"/>
      <w:numFmt w:val="chineseCounting"/>
      <w:suff w:val="nothing"/>
      <w:lvlText w:val="（%1）"/>
      <w:lvlJc w:val="left"/>
      <w:rPr>
        <w:rFonts w:hint="eastAsia"/>
      </w:rPr>
    </w:lvl>
  </w:abstractNum>
  <w:abstractNum w:abstractNumId="5">
    <w:nsid w:val="FEBE7B4E"/>
    <w:multiLevelType w:val="singleLevel"/>
    <w:tmpl w:val="FEBE7B4E"/>
    <w:lvl w:ilvl="0" w:tentative="0">
      <w:start w:val="1"/>
      <w:numFmt w:val="chineseCounting"/>
      <w:suff w:val="nothing"/>
      <w:lvlText w:val="（%1）"/>
      <w:lvlJc w:val="left"/>
      <w:rPr>
        <w:rFonts w:hint="eastAsia"/>
      </w:rPr>
    </w:lvl>
  </w:abstractNum>
  <w:abstractNum w:abstractNumId="6">
    <w:nsid w:val="FFF72BBE"/>
    <w:multiLevelType w:val="singleLevel"/>
    <w:tmpl w:val="FFF72BBE"/>
    <w:lvl w:ilvl="0" w:tentative="0">
      <w:start w:val="1"/>
      <w:numFmt w:val="decimal"/>
      <w:lvlText w:val="%1."/>
      <w:lvlJc w:val="left"/>
      <w:pPr>
        <w:tabs>
          <w:tab w:val="left" w:pos="312"/>
        </w:tabs>
      </w:pPr>
    </w:lvl>
  </w:abstractNum>
  <w:abstractNum w:abstractNumId="7">
    <w:nsid w:val="57F2F4E5"/>
    <w:multiLevelType w:val="singleLevel"/>
    <w:tmpl w:val="57F2F4E5"/>
    <w:lvl w:ilvl="0" w:tentative="0">
      <w:start w:val="1"/>
      <w:numFmt w:val="chineseCounting"/>
      <w:suff w:val="nothing"/>
      <w:lvlText w:val="（%1）"/>
      <w:lvlJc w:val="left"/>
      <w:rPr>
        <w:rFonts w:hint="eastAsia"/>
      </w:rPr>
    </w:lvl>
  </w:abstractNum>
  <w:abstractNum w:abstractNumId="8">
    <w:nsid w:val="7EFE7FFD"/>
    <w:multiLevelType w:val="singleLevel"/>
    <w:tmpl w:val="7EFE7FFD"/>
    <w:lvl w:ilvl="0" w:tentative="0">
      <w:start w:val="1"/>
      <w:numFmt w:val="chineseCounting"/>
      <w:suff w:val="nothing"/>
      <w:lvlText w:val="（%1）"/>
      <w:lvlJc w:val="left"/>
      <w:rPr>
        <w:rFonts w:hint="eastAsia"/>
      </w:rPr>
    </w:lvl>
  </w:abstractNum>
  <w:num w:numId="1">
    <w:abstractNumId w:val="4"/>
  </w:num>
  <w:num w:numId="2">
    <w:abstractNumId w:val="3"/>
  </w:num>
  <w:num w:numId="3">
    <w:abstractNumId w:val="5"/>
  </w:num>
  <w:num w:numId="4">
    <w:abstractNumId w:val="8"/>
  </w:num>
  <w:num w:numId="5">
    <w:abstractNumId w:val="1"/>
  </w:num>
  <w:num w:numId="6">
    <w:abstractNumId w:val="6"/>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D13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next w:val="2"/>
    <w:unhideWhenUsed/>
    <w:qFormat/>
    <w:uiPriority w:val="99"/>
    <w:pPr>
      <w:spacing w:after="120"/>
      <w:ind w:left="420" w:leftChars="200"/>
    </w:pPr>
  </w:style>
  <w:style w:type="paragraph" w:styleId="4">
    <w:name w:val="toc 3"/>
    <w:basedOn w:val="1"/>
    <w:next w:val="1"/>
    <w:unhideWhenUsed/>
    <w:qFormat/>
    <w:uiPriority w:val="39"/>
    <w:pPr>
      <w:ind w:left="840" w:leftChars="4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正文首行缩进 21"/>
    <w:basedOn w:val="10"/>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outlineLvl w:val="9"/>
    </w:pPr>
    <w:rPr>
      <w:rFonts w:ascii="Calibri" w:hAnsi="Calibri" w:eastAsia="宋体" w:cs="Times New Roman"/>
      <w:snapToGrid/>
      <w:color w:val="auto"/>
      <w:spacing w:val="0"/>
      <w:w w:val="100"/>
      <w:kern w:val="2"/>
      <w:position w:val="0"/>
      <w:sz w:val="24"/>
      <w:szCs w:val="24"/>
      <w:u w:val="none" w:color="auto"/>
      <w:shd w:val="clear" w:color="auto" w:fill="auto"/>
      <w:vertAlign w:val="baseline"/>
      <w:lang w:val="en-US" w:eastAsia="zh-CN" w:bidi="ar-SA"/>
    </w:rPr>
  </w:style>
  <w:style w:type="paragraph" w:customStyle="1" w:styleId="10">
    <w:name w:val="正文文本缩进1"/>
    <w:basedOn w:val="1"/>
    <w:qFormat/>
    <w:uiPriority w:val="0"/>
    <w:pPr>
      <w:spacing w:line="150" w:lineRule="atLeast"/>
      <w:textAlignment w:val="baseline"/>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2026-03-20T04:29:42Z</dcterms:created>
  <dc:creator>Administrator</dc:creator>
  <cp:lastModifiedBy>.</cp:lastModifiedBy>
  <dcterms:modified xsi:type="dcterms:W3CDTF">2026-03-20T04:29:53Z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eyJoZGlkIjoiMmI3YWQyNTZiNWEzYTE3ZDBhZjA2NDMwNzA4ZThlNTciLCJ1c2VySWQiOiIyMTI3NTM2NTQifQ==</vt:lpwstr>
  </property>
  <property fmtid="{D5CDD505-2E9C-101B-9397-08002B2CF9AE}" pid="4" name="ICV">
    <vt:lpwstr>4A941753FD614C909536E0E0C89E7943_12</vt:lpwstr>
  </property>
</Properties>
</file>