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535A">
      <w:pPr>
        <w:keepNext w:val="0"/>
        <w:keepLines w:val="0"/>
        <w:widowControl w:val="0"/>
        <w:suppressLineNumbers w:val="0"/>
        <w:autoSpaceDE w:val="0"/>
        <w:autoSpaceDN/>
        <w:spacing w:before="0" w:beforeAutospacing="0" w:after="0" w:afterAutospacing="0" w:line="576"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西藏自治区房屋建筑和市政基础设施工程质量检测不合格项目</w:t>
      </w:r>
    </w:p>
    <w:p w14:paraId="2E59D91D">
      <w:pPr>
        <w:keepNext w:val="0"/>
        <w:keepLines w:val="0"/>
        <w:widowControl w:val="0"/>
        <w:suppressLineNumbers w:val="0"/>
        <w:autoSpaceDE w:val="0"/>
        <w:autoSpaceDN/>
        <w:spacing w:before="0" w:beforeAutospacing="0" w:after="0" w:afterAutospacing="0" w:line="576"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闭合处理规定</w:t>
      </w:r>
    </w:p>
    <w:p w14:paraId="65F750AD">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val="en-US" w:eastAsia="zh-CN" w:bidi="ar"/>
        </w:rPr>
        <w:t>（征求意见稿）</w:t>
      </w:r>
    </w:p>
    <w:p w14:paraId="19A2A9D5">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第一条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为加强对</w:t>
      </w:r>
      <w:bookmarkStart w:id="0" w:name="OLE_LINK3"/>
      <w:r>
        <w:rPr>
          <w:rFonts w:hint="eastAsia" w:ascii="仿宋_GB2312" w:hAnsi="Calibri" w:eastAsia="仿宋_GB2312" w:cs="仿宋_GB2312"/>
          <w:kern w:val="2"/>
          <w:sz w:val="32"/>
          <w:szCs w:val="32"/>
          <w:lang w:val="en-US" w:eastAsia="zh-CN" w:bidi="ar"/>
        </w:rPr>
        <w:t>房屋建筑和市政基础设施工程</w:t>
      </w:r>
      <w:bookmarkEnd w:id="0"/>
      <w:r>
        <w:rPr>
          <w:rFonts w:hint="eastAsia" w:ascii="仿宋_GB2312" w:hAnsi="Calibri" w:eastAsia="仿宋_GB2312" w:cs="仿宋_GB2312"/>
          <w:kern w:val="2"/>
          <w:sz w:val="32"/>
          <w:szCs w:val="32"/>
          <w:lang w:val="en-US" w:eastAsia="zh-CN" w:bidi="ar"/>
        </w:rPr>
        <w:t>质量检测质量的管理，确保对检测不合格项目处理的及时性和规范性，保障工程质量，根据《建设工程质量管理条例》《建设工程质量检测管理办法》及《西藏自治区建设工程质量检测管理实施细则（试行）》，制定本规定。</w:t>
      </w:r>
    </w:p>
    <w:p w14:paraId="70A2B4C7">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第二条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本规定所指的房屋建筑和市政基础设施工程质量检测不合格项目，是指经具备相应资质的第三方检测机构检测认定建筑材料或建筑物实体质量的性能指标不满足技术标准或设计要求的项目；闭合处理是指对检测不合格项目进行整改处理（包括材料退场、设计核验、返工、返修或加固处理等），以满足技术标准或设计要求的过程。</w:t>
      </w:r>
    </w:p>
    <w:p w14:paraId="12019798">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第三条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在订立检测委托合同后，委托单位应将施工和监理单位项目负责人、取样员、见证员的姓名、证号以及联系方式以文件（或函件）的形式告知检测机构。</w:t>
      </w:r>
    </w:p>
    <w:p w14:paraId="2AC21B53">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第四条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在首次委托检测机构进行单位工程见证取样检测工作时，施工单位和监理单位应通过自治区智慧化工地服务与监管平台（以下简称“智慧工地平台”）分别添加该项目的取样员和见证员的账号，取样员和见证员需通过智慧工地平台进行实名认证。</w:t>
      </w:r>
    </w:p>
    <w:p w14:paraId="76DADEB0">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第五条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施工单位应建立检测报告查询和检测不合格项目闭合处理制度，指定专人通过智慧工地平台及时了解工程相关检测信息，有检测不合格项目的，应及时处理，并在智慧工地平台填报处理情况和闭合时间。</w:t>
      </w:r>
    </w:p>
    <w:p w14:paraId="3A2C12BE">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第六条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监理单位应建立检测报告查询和检测不合格项目闭合处理监理制度，指定专人通过智慧工地平台及时了解工程相关检测信息，督促责任单位处理检测不合格项目，并在智慧工地平台填报监理单位对检测不合格项目处理的监理情况和闭合时间。</w:t>
      </w:r>
      <w:r>
        <w:rPr>
          <w:rFonts w:hint="eastAsia" w:ascii="仿宋_GB2312" w:hAnsi="Calibri" w:eastAsia="仿宋_GB2312" w:cs="Times New Roman"/>
          <w:kern w:val="2"/>
          <w:sz w:val="32"/>
          <w:szCs w:val="32"/>
          <w:lang w:val="en-US" w:eastAsia="zh-CN" w:bidi="ar"/>
        </w:rPr>
        <w:t xml:space="preserve"> </w:t>
      </w:r>
    </w:p>
    <w:p w14:paraId="0EF0E407">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第七条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检测机构应建立《检测不合格项目台账》（详见附件1），并通过智慧工地平台报送给工程项目所在地建设工程质量监督机构。</w:t>
      </w:r>
    </w:p>
    <w:p w14:paraId="29464E91">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第八条</w:t>
      </w:r>
      <w:r>
        <w:rPr>
          <w:rFonts w:hint="eastAsia" w:ascii="仿宋_GB2312" w:hAnsi="Calibri" w:eastAsia="仿宋_GB2312" w:cs="Times New Roman"/>
          <w:b/>
          <w:bCs w:val="0"/>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对实时采集的见证类检测项目，检测机构应当在数据采集完成后24小时内完成不合格项目的确认，并将确认结果书面告知委托单位；对非实时采集的检测项目，检测机构应当在不合格项目确认完成后24小时内，将确认结果书面告知委托单位。</w:t>
      </w:r>
    </w:p>
    <w:p w14:paraId="0F9EFEE0">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第九条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委托单位（或责任单位）收到检测机构（或检测信息管理系统）告知的检测不合格项目信息后，应会同有关单位进行双倍复检确认，仍不合格的，按以下要求及时处置：</w:t>
      </w:r>
    </w:p>
    <w:p w14:paraId="1934E011">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（一）材料（含原材料、构配件、器具及半成品等）检测不合格的处置要求：</w:t>
      </w:r>
    </w:p>
    <w:p w14:paraId="34503E20">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⒈ 已进场未使用的不合格材料应作退场处理，需有退场的照片或影像资料，有退场的记录并经总监理工程师签字确认。同时将不合格材料相关信息报送给建设工程所在地县级以上住房和城乡建设主管部门。</w:t>
      </w:r>
    </w:p>
    <w:p w14:paraId="50A67EB4">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⒉ 现场制作的钢筋连接接头等构件经检验不合格的，应返工处理，并留存返工处理的照片或影像资料以及经总监理工程师签字确认的返工处理记录。</w:t>
      </w:r>
    </w:p>
    <w:p w14:paraId="617B2253">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⒊ 材料必须经进场检验合格，并报监理单位审核通过后方可使用，若不合格材料未检验合格即投入使用，则按以下第（二）项工程实体质量检测不合格的情形进行处置。</w:t>
      </w:r>
    </w:p>
    <w:p w14:paraId="7B15D2B5">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（二）工程实体质量检测不合格的处置要求：</w:t>
      </w:r>
    </w:p>
    <w:p w14:paraId="63CD5E77">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⒈ 检测不合格的结构部位，可以返工或返修的，应由责任单位返工或返修；经返工或修补的结构部位，应有返工或修补前后的记录，并留存相关照片或影像资料。</w:t>
      </w:r>
    </w:p>
    <w:p w14:paraId="2CD34B2E">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⒉ 不能返工或返修的，应委托原设计单位核验其安全性能和使用功能。经核验安全性能和使用功能满足设计要求的，可不予处理；不能满足设计要求，但可加固处理的，按设计单位出具或认可的加固方案进行处理。</w:t>
      </w:r>
    </w:p>
    <w:p w14:paraId="049E6E72">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（三）</w:t>
      </w:r>
      <w:r>
        <w:rPr>
          <w:rFonts w:hint="eastAsia" w:ascii="仿宋_GB2312" w:hAnsi="Calibri" w:eastAsia="仿宋_GB2312" w:cs="Times New Roman"/>
          <w:kern w:val="2"/>
          <w:sz w:val="32"/>
          <w:szCs w:val="32"/>
          <w:lang w:val="en-US" w:eastAsia="zh-CN" w:bidi="ar"/>
        </w:rPr>
        <w:tab/>
      </w:r>
      <w:r>
        <w:rPr>
          <w:rFonts w:hint="eastAsia" w:ascii="仿宋_GB2312" w:hAnsi="Calibri" w:eastAsia="仿宋_GB2312" w:cs="仿宋_GB2312"/>
          <w:kern w:val="2"/>
          <w:sz w:val="32"/>
          <w:szCs w:val="32"/>
          <w:lang w:val="en-US" w:eastAsia="zh-CN" w:bidi="ar"/>
        </w:rPr>
        <w:t>工程质量验收要求：</w:t>
      </w:r>
    </w:p>
    <w:p w14:paraId="7909F831">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⒈ 检测不合格项目未闭合处理的，不得进行相应的分项、分部工程验收和竣工验收。</w:t>
      </w:r>
    </w:p>
    <w:p w14:paraId="0C60F8C7">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⒉ 经返工或返修的检验批次，应由专业监理工程师重新组织验收。</w:t>
      </w:r>
    </w:p>
    <w:p w14:paraId="35A4CACA">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⒊ 经有资质的检测机构检测鉴定能够达到设计要求的检验批次，应予以验收。</w:t>
      </w:r>
    </w:p>
    <w:p w14:paraId="0688BEB6">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⒋ 经有资质的检测机构检测鉴定达不到设计要求、但经原设计单位核验认可能够满足安全和使用功能的检验批次，可予以验收。</w:t>
      </w:r>
    </w:p>
    <w:p w14:paraId="76C2737F">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⒌ 经返修或加固处理的分项、分部工程，满足安全及使用功能要求时，可按技术处理方案和协商文件的要求予以验收。</w:t>
      </w:r>
    </w:p>
    <w:p w14:paraId="1044B182">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⒍ 经返修或加固处理仍不能满足安全或主要使用要求的分部工程及单位工程严禁验收。</w:t>
      </w:r>
    </w:p>
    <w:p w14:paraId="6FC44F8C">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各类检测不合格项目处理的具体方式详见《一般检测不合格项目闭合处理方式</w:t>
      </w:r>
      <w:bookmarkStart w:id="2" w:name="_GoBack"/>
      <w:bookmarkEnd w:id="2"/>
      <w:r>
        <w:rPr>
          <w:rFonts w:hint="eastAsia" w:ascii="仿宋_GB2312" w:hAnsi="Calibri" w:eastAsia="仿宋_GB2312" w:cs="仿宋_GB2312"/>
          <w:kern w:val="2"/>
          <w:sz w:val="32"/>
          <w:szCs w:val="32"/>
          <w:lang w:val="en-US" w:eastAsia="zh-CN" w:bidi="ar"/>
        </w:rPr>
        <w:t>一览表》（详见附件2）。</w:t>
      </w:r>
    </w:p>
    <w:p w14:paraId="3F56F95A">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建设工程质量监督机构应通过智慧工地平台监督不合格项目的闭合处理情况。</w:t>
      </w:r>
    </w:p>
    <w:p w14:paraId="476F9622">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第十一条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建设工程质量监督机构日常开展监督抽查工作时，应抽查有关单位对检测不合格项目闭合处理的情况，发现有不合格项目未处理或未及时处理的，应下发整改通知，责令责任单位立即处理，并报当地住房城乡建设主管部门按有关规定对责任单位进行处罚。</w:t>
      </w:r>
    </w:p>
    <w:p w14:paraId="6F3BE553">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第十二条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自治区住房城乡建设主管部门负责全区受监督工程检测不合格项目闭合处理的监督管理，具体工作委托自治区建筑工程安全生产与质量监督总站实施。各市（地）、县（市、区）住房和城乡建设主管部门负责辖区内受监督工程检测不合格项目闭合处理的监督管理，并可委托同级建设工程质量监督机构具体实施。</w:t>
      </w:r>
    </w:p>
    <w:p w14:paraId="480EA2D7">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第十三条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未实施监理的工程，监理单位和总监理工程师职责由建设单位和建设单位项目负责人履行。</w:t>
      </w:r>
    </w:p>
    <w:p w14:paraId="3EC036E7">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第十四条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违反本规定，将未经检验合格、未经监理确认同意使用的原材料用于工程建设的，由建设工程质量监督机构责令改正；情节严重或责任单位拒不改正的，由建设工程质量监督机构报告当地住房城乡建设主管部门查处。</w:t>
      </w:r>
    </w:p>
    <w:p w14:paraId="70BA9BCC">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第十五条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不合格项目的闭合处理，除符合本规定外，应符合国家和地方相关现行标准和规定。</w:t>
      </w:r>
    </w:p>
    <w:p w14:paraId="77412963">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第十六条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本规定由自治区住房和城乡建设厅负责解释。</w:t>
      </w:r>
    </w:p>
    <w:p w14:paraId="1A6D332E">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b/>
          <w:bCs w:val="0"/>
          <w:kern w:val="2"/>
          <w:sz w:val="32"/>
          <w:szCs w:val="32"/>
          <w:lang w:val="en-US" w:eastAsia="zh-CN" w:bidi="ar"/>
        </w:rPr>
        <w:t>第十七条</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本规定自发布之日起30日后施行。</w:t>
      </w:r>
    </w:p>
    <w:p w14:paraId="2A362F4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32"/>
          <w:szCs w:val="32"/>
        </w:rPr>
      </w:pPr>
      <w:r>
        <w:rPr>
          <w:rFonts w:hint="eastAsia" w:ascii="Calibri" w:hAnsi="Calibri" w:eastAsia="宋体" w:cs="Times New Roman"/>
          <w:kern w:val="2"/>
          <w:sz w:val="32"/>
          <w:szCs w:val="32"/>
          <w:lang w:val="en-US" w:eastAsia="zh-CN" w:bidi="ar"/>
        </w:rPr>
        <w:t xml:space="preserve"> </w:t>
      </w:r>
    </w:p>
    <w:p w14:paraId="5AAF6026">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32"/>
          <w:szCs w:val="32"/>
        </w:rPr>
      </w:pPr>
      <w:r>
        <w:rPr>
          <w:rFonts w:hint="eastAsia" w:ascii="Calibri" w:hAnsi="Calibri" w:eastAsia="宋体" w:cs="Times New Roman"/>
          <w:kern w:val="2"/>
          <w:sz w:val="32"/>
          <w:szCs w:val="32"/>
          <w:lang w:val="en-US" w:eastAsia="zh-CN" w:bidi="ar"/>
        </w:rPr>
        <w:t xml:space="preserve"> </w:t>
      </w:r>
    </w:p>
    <w:p w14:paraId="58A1D5E2">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附件：⒈ 检测不合格项目台账</w:t>
      </w:r>
    </w:p>
    <w:p w14:paraId="04C8E1A2">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⒉ 一般检测不合格项目闭合处理方式一览表</w:t>
      </w:r>
    </w:p>
    <w:p w14:paraId="181F26B9">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32"/>
          <w:szCs w:val="32"/>
        </w:rPr>
      </w:pPr>
      <w:r>
        <w:rPr>
          <w:rFonts w:hint="default" w:ascii="Calibri" w:hAnsi="Calibri" w:eastAsia="宋体" w:cs="Times New Roman"/>
          <w:kern w:val="2"/>
          <w:sz w:val="32"/>
          <w:szCs w:val="32"/>
          <w:lang w:val="en-US" w:eastAsia="zh-CN" w:bidi="ar"/>
        </w:rPr>
        <w:br w:type="page"/>
      </w:r>
    </w:p>
    <w:p w14:paraId="7853B28D">
      <w:pPr>
        <w:rPr>
          <w:rFonts w:hint="default" w:ascii="Calibri" w:hAnsi="Calibri" w:eastAsia="宋体" w:cs="Times New Roman"/>
          <w:kern w:val="2"/>
          <w:sz w:val="32"/>
          <w:szCs w:val="32"/>
        </w:rPr>
        <w:sectPr>
          <w:pgSz w:w="11906" w:h="16838"/>
          <w:pgMar w:top="1440" w:right="1800" w:bottom="1440" w:left="1800" w:header="851" w:footer="992" w:gutter="0"/>
          <w:cols w:space="425" w:num="1"/>
          <w:docGrid w:type="lines" w:linePitch="312" w:charSpace="0"/>
        </w:sectPr>
      </w:pPr>
    </w:p>
    <w:p w14:paraId="54D7FB2C">
      <w:pPr>
        <w:keepNext w:val="0"/>
        <w:keepLines w:val="0"/>
        <w:widowControl w:val="0"/>
        <w:suppressLineNumbers w:val="0"/>
        <w:spacing w:before="0" w:beforeAutospacing="0" w:after="0" w:afterAutospacing="0" w:line="590" w:lineRule="exact"/>
        <w:ind w:left="0" w:right="0" w:firstLine="640" w:firstLineChars="200"/>
        <w:jc w:val="both"/>
        <w:rPr>
          <w:rFonts w:hint="default" w:ascii="方正黑体_GBK" w:hAnsi="方正黑体_GBK" w:eastAsia="宋体" w:cs="Times New Roman"/>
          <w:kern w:val="2"/>
          <w:sz w:val="32"/>
          <w:szCs w:val="32"/>
        </w:rPr>
      </w:pPr>
      <w:r>
        <w:rPr>
          <w:rFonts w:hint="eastAsia" w:ascii="宋体" w:hAnsi="宋体" w:eastAsia="宋体" w:cs="宋体"/>
          <w:kern w:val="2"/>
          <w:sz w:val="32"/>
          <w:szCs w:val="32"/>
          <w:lang w:val="en-US" w:eastAsia="zh-CN" w:bidi="ar"/>
        </w:rPr>
        <w:t>附件</w:t>
      </w:r>
      <w:r>
        <w:rPr>
          <w:rFonts w:hint="default" w:ascii="方正黑体_GBK" w:hAnsi="方正黑体_GBK" w:eastAsia="宋体" w:cs="Times New Roman"/>
          <w:kern w:val="2"/>
          <w:sz w:val="32"/>
          <w:szCs w:val="32"/>
          <w:lang w:val="en-US" w:eastAsia="zh-CN" w:bidi="ar"/>
        </w:rPr>
        <w:t>1</w:t>
      </w:r>
    </w:p>
    <w:p w14:paraId="2C270F47">
      <w:pPr>
        <w:keepNext w:val="0"/>
        <w:keepLines w:val="0"/>
        <w:widowControl w:val="0"/>
        <w:suppressLineNumbers w:val="0"/>
        <w:snapToGrid w:val="0"/>
        <w:spacing w:before="0" w:beforeAutospacing="0" w:after="0" w:afterAutospacing="0" w:line="590" w:lineRule="exact"/>
        <w:ind w:left="0" w:right="0" w:firstLine="880" w:firstLineChars="200"/>
        <w:jc w:val="center"/>
        <w:rPr>
          <w:rFonts w:hint="eastAsia" w:ascii="方正小标宋_GBK" w:hAnsi="宋体" w:eastAsia="宋体" w:cs="Times New Roman"/>
          <w:kern w:val="2"/>
          <w:sz w:val="44"/>
          <w:szCs w:val="44"/>
        </w:rPr>
      </w:pPr>
      <w:r>
        <w:rPr>
          <w:rFonts w:hint="eastAsia" w:ascii="宋体" w:hAnsi="宋体" w:eastAsia="宋体" w:cs="宋体"/>
          <w:kern w:val="2"/>
          <w:sz w:val="44"/>
          <w:szCs w:val="44"/>
          <w:lang w:val="en-US" w:eastAsia="zh-CN" w:bidi="ar"/>
        </w:rPr>
        <w:t>检测不合格项目台账</w:t>
      </w:r>
    </w:p>
    <w:p w14:paraId="27058AA9">
      <w:pPr>
        <w:keepNext w:val="0"/>
        <w:keepLines w:val="0"/>
        <w:widowControl w:val="0"/>
        <w:suppressLineNumbers w:val="0"/>
        <w:snapToGrid w:val="0"/>
        <w:spacing w:before="0" w:beforeAutospacing="0" w:after="0" w:afterAutospacing="0" w:line="590" w:lineRule="exact"/>
        <w:ind w:left="0" w:right="0" w:firstLine="562" w:firstLineChars="200"/>
        <w:jc w:val="center"/>
        <w:rPr>
          <w:rFonts w:hint="eastAsia" w:ascii="方正仿宋_GBK" w:hAnsi="方正仿宋_GBK" w:eastAsia="宋体" w:cs="Times New Roman"/>
          <w:b/>
          <w:bCs w:val="0"/>
          <w:kern w:val="2"/>
          <w:sz w:val="28"/>
          <w:szCs w:val="28"/>
        </w:rPr>
      </w:pPr>
      <w:r>
        <w:rPr>
          <w:rFonts w:hint="eastAsia" w:ascii="宋体" w:hAnsi="宋体" w:eastAsia="宋体" w:cs="宋体"/>
          <w:b/>
          <w:bCs w:val="0"/>
          <w:kern w:val="2"/>
          <w:sz w:val="28"/>
          <w:szCs w:val="28"/>
          <w:lang w:val="en-US" w:eastAsia="zh-CN" w:bidi="ar"/>
        </w:rPr>
        <w:t>（</w:t>
      </w:r>
      <w:r>
        <w:rPr>
          <w:rFonts w:hint="eastAsia" w:ascii="方正仿宋_GBK" w:hAnsi="方正仿宋_GBK" w:eastAsia="宋体" w:cs="Times New Roman"/>
          <w:b/>
          <w:bCs w:val="0"/>
          <w:kern w:val="2"/>
          <w:sz w:val="28"/>
          <w:szCs w:val="28"/>
          <w:lang w:val="en-US" w:eastAsia="zh-CN" w:bidi="ar"/>
        </w:rPr>
        <w:t xml:space="preserve"> </w:t>
      </w:r>
      <w:r>
        <w:rPr>
          <w:rFonts w:hint="eastAsia" w:ascii="方正仿宋_GBK" w:hAnsi="方正仿宋_GBK" w:eastAsia="宋体" w:cs="Times New Roman"/>
          <w:b/>
          <w:bCs w:val="0"/>
          <w:kern w:val="2"/>
          <w:sz w:val="28"/>
          <w:szCs w:val="28"/>
          <w:u w:val="single"/>
          <w:lang w:val="en-US" w:eastAsia="zh-CN" w:bidi="ar"/>
        </w:rPr>
        <w:t xml:space="preserve">    </w:t>
      </w:r>
      <w:r>
        <w:rPr>
          <w:rFonts w:hint="eastAsia" w:ascii="宋体" w:hAnsi="宋体" w:eastAsia="宋体" w:cs="宋体"/>
          <w:b/>
          <w:bCs w:val="0"/>
          <w:kern w:val="2"/>
          <w:sz w:val="28"/>
          <w:szCs w:val="28"/>
          <w:lang w:val="en-US" w:eastAsia="zh-CN" w:bidi="ar"/>
        </w:rPr>
        <w:t>年</w:t>
      </w:r>
      <w:r>
        <w:rPr>
          <w:rFonts w:hint="eastAsia" w:ascii="方正仿宋_GBK" w:hAnsi="方正仿宋_GBK" w:eastAsia="宋体" w:cs="Times New Roman"/>
          <w:b/>
          <w:bCs w:val="0"/>
          <w:kern w:val="2"/>
          <w:sz w:val="28"/>
          <w:szCs w:val="28"/>
          <w:u w:val="single"/>
          <w:lang w:val="en-US" w:eastAsia="zh-CN" w:bidi="ar"/>
        </w:rPr>
        <w:t xml:space="preserve">    </w:t>
      </w:r>
      <w:r>
        <w:rPr>
          <w:rFonts w:hint="eastAsia" w:ascii="宋体" w:hAnsi="宋体" w:eastAsia="宋体" w:cs="宋体"/>
          <w:b/>
          <w:bCs w:val="0"/>
          <w:kern w:val="2"/>
          <w:sz w:val="28"/>
          <w:szCs w:val="28"/>
          <w:lang w:val="en-US" w:eastAsia="zh-CN" w:bidi="ar"/>
        </w:rPr>
        <w:t>月）</w:t>
      </w:r>
    </w:p>
    <w:p w14:paraId="565EA5C1">
      <w:pPr>
        <w:keepNext w:val="0"/>
        <w:keepLines w:val="0"/>
        <w:widowControl w:val="0"/>
        <w:suppressLineNumbers w:val="0"/>
        <w:snapToGrid w:val="0"/>
        <w:spacing w:before="0" w:beforeAutospacing="0" w:after="0" w:afterAutospacing="0" w:line="590" w:lineRule="exact"/>
        <w:ind w:left="0" w:right="0" w:firstLine="480" w:firstLineChars="200"/>
        <w:jc w:val="center"/>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4"/>
          <w:szCs w:val="24"/>
          <w:lang w:val="en-US" w:eastAsia="zh-CN" w:bidi="ar"/>
        </w:rPr>
        <w:t>填报单位：（盖章）</w:t>
      </w:r>
      <w:r>
        <w:rPr>
          <w:rFonts w:hint="default" w:ascii="Calibri" w:hAnsi="Calibri" w:eastAsia="方正仿宋_GBK" w:cs="Times New Roman"/>
          <w:kern w:val="2"/>
          <w:sz w:val="24"/>
          <w:szCs w:val="24"/>
          <w:u w:val="single"/>
          <w:lang w:val="en-US" w:eastAsia="zh-CN" w:bidi="ar"/>
        </w:rPr>
        <w:t xml:space="preserve">                        </w:t>
      </w:r>
      <w:r>
        <w:rPr>
          <w:rFonts w:hint="default" w:ascii="Calibri" w:hAnsi="Calibri"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第</w:t>
      </w:r>
      <w:r>
        <w:rPr>
          <w:rFonts w:hint="default" w:ascii="Calibri" w:hAnsi="Calibri" w:eastAsia="方正仿宋_GBK" w:cs="Times New Roman"/>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页</w:t>
      </w:r>
      <w:r>
        <w:rPr>
          <w:rFonts w:hint="default" w:ascii="Calibri" w:hAnsi="Calibri"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共</w:t>
      </w:r>
      <w:r>
        <w:rPr>
          <w:rFonts w:hint="default" w:ascii="Calibri" w:hAnsi="Calibri" w:eastAsia="方正仿宋_GBK"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页</w:t>
      </w:r>
    </w:p>
    <w:tbl>
      <w:tblPr>
        <w:tblStyle w:val="2"/>
        <w:tblW w:w="14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9"/>
        <w:gridCol w:w="1299"/>
        <w:gridCol w:w="1497"/>
        <w:gridCol w:w="1311"/>
        <w:gridCol w:w="1385"/>
        <w:gridCol w:w="3072"/>
        <w:gridCol w:w="1420"/>
        <w:gridCol w:w="1311"/>
        <w:gridCol w:w="1311"/>
        <w:gridCol w:w="1311"/>
      </w:tblGrid>
      <w:tr w14:paraId="3EEA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1"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F4986EC">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序号</w:t>
            </w:r>
          </w:p>
        </w:tc>
        <w:tc>
          <w:tcPr>
            <w:tcW w:w="1299" w:type="dxa"/>
            <w:tcBorders>
              <w:top w:val="single" w:color="auto" w:sz="4" w:space="0"/>
              <w:left w:val="nil"/>
              <w:bottom w:val="single" w:color="auto" w:sz="4" w:space="0"/>
              <w:right w:val="single" w:color="auto" w:sz="4" w:space="0"/>
            </w:tcBorders>
            <w:shd w:val="clear" w:color="auto" w:fill="auto"/>
            <w:vAlign w:val="center"/>
          </w:tcPr>
          <w:p w14:paraId="65650782">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检测类别</w:t>
            </w:r>
          </w:p>
        </w:tc>
        <w:tc>
          <w:tcPr>
            <w:tcW w:w="1497" w:type="dxa"/>
            <w:tcBorders>
              <w:top w:val="single" w:color="auto" w:sz="4" w:space="0"/>
              <w:left w:val="nil"/>
              <w:bottom w:val="single" w:color="auto" w:sz="4" w:space="0"/>
              <w:right w:val="single" w:color="auto" w:sz="4" w:space="0"/>
            </w:tcBorders>
            <w:shd w:val="clear" w:color="auto" w:fill="auto"/>
            <w:vAlign w:val="center"/>
          </w:tcPr>
          <w:p w14:paraId="50AFD369">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不合格项目</w:t>
            </w:r>
          </w:p>
        </w:tc>
        <w:tc>
          <w:tcPr>
            <w:tcW w:w="1311" w:type="dxa"/>
            <w:tcBorders>
              <w:top w:val="single" w:color="auto" w:sz="4" w:space="0"/>
              <w:left w:val="nil"/>
              <w:bottom w:val="single" w:color="auto" w:sz="4" w:space="0"/>
              <w:right w:val="single" w:color="auto" w:sz="4" w:space="0"/>
            </w:tcBorders>
            <w:shd w:val="clear" w:color="auto" w:fill="auto"/>
            <w:vAlign w:val="center"/>
          </w:tcPr>
          <w:p w14:paraId="539EF0A5">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检测日期</w:t>
            </w:r>
          </w:p>
        </w:tc>
        <w:tc>
          <w:tcPr>
            <w:tcW w:w="1385" w:type="dxa"/>
            <w:tcBorders>
              <w:top w:val="single" w:color="auto" w:sz="4" w:space="0"/>
              <w:left w:val="nil"/>
              <w:bottom w:val="single" w:color="auto" w:sz="4" w:space="0"/>
              <w:right w:val="single" w:color="auto" w:sz="4" w:space="0"/>
            </w:tcBorders>
            <w:shd w:val="clear" w:color="auto" w:fill="auto"/>
            <w:vAlign w:val="center"/>
          </w:tcPr>
          <w:p w14:paraId="7B6DA190">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不合格报告编号</w:t>
            </w:r>
          </w:p>
        </w:tc>
        <w:tc>
          <w:tcPr>
            <w:tcW w:w="3072" w:type="dxa"/>
            <w:tcBorders>
              <w:top w:val="single" w:color="auto" w:sz="4" w:space="0"/>
              <w:left w:val="nil"/>
              <w:bottom w:val="single" w:color="auto" w:sz="4" w:space="0"/>
              <w:right w:val="single" w:color="auto" w:sz="4" w:space="0"/>
            </w:tcBorders>
            <w:shd w:val="clear" w:color="auto" w:fill="auto"/>
            <w:vAlign w:val="center"/>
          </w:tcPr>
          <w:p w14:paraId="0F575F18">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工程名称</w:t>
            </w:r>
          </w:p>
        </w:tc>
        <w:tc>
          <w:tcPr>
            <w:tcW w:w="1420" w:type="dxa"/>
            <w:tcBorders>
              <w:top w:val="single" w:color="auto" w:sz="4" w:space="0"/>
              <w:left w:val="nil"/>
              <w:bottom w:val="single" w:color="auto" w:sz="4" w:space="0"/>
              <w:right w:val="single" w:color="auto" w:sz="4" w:space="0"/>
            </w:tcBorders>
            <w:shd w:val="clear" w:color="auto" w:fill="auto"/>
            <w:vAlign w:val="center"/>
          </w:tcPr>
          <w:p w14:paraId="560EB788">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项目经理</w:t>
            </w:r>
          </w:p>
          <w:p w14:paraId="41EC5296">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（证号）</w:t>
            </w:r>
          </w:p>
        </w:tc>
        <w:tc>
          <w:tcPr>
            <w:tcW w:w="1311" w:type="dxa"/>
            <w:tcBorders>
              <w:top w:val="single" w:color="auto" w:sz="4" w:space="0"/>
              <w:left w:val="nil"/>
              <w:bottom w:val="single" w:color="auto" w:sz="4" w:space="0"/>
              <w:right w:val="single" w:color="auto" w:sz="4" w:space="0"/>
            </w:tcBorders>
            <w:shd w:val="clear" w:color="auto" w:fill="auto"/>
            <w:vAlign w:val="center"/>
          </w:tcPr>
          <w:p w14:paraId="01ACCE3F">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总监</w:t>
            </w:r>
          </w:p>
          <w:p w14:paraId="05A04788">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（证号）</w:t>
            </w:r>
          </w:p>
        </w:tc>
        <w:tc>
          <w:tcPr>
            <w:tcW w:w="1311" w:type="dxa"/>
            <w:tcBorders>
              <w:top w:val="single" w:color="auto" w:sz="4" w:space="0"/>
              <w:left w:val="nil"/>
              <w:bottom w:val="single" w:color="auto" w:sz="4" w:space="0"/>
              <w:right w:val="single" w:color="auto" w:sz="4" w:space="0"/>
            </w:tcBorders>
            <w:shd w:val="clear" w:color="auto" w:fill="auto"/>
            <w:vAlign w:val="center"/>
          </w:tcPr>
          <w:p w14:paraId="09C8CF46">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见证员</w:t>
            </w:r>
          </w:p>
          <w:p w14:paraId="0FBA6CE7">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（证号）</w:t>
            </w:r>
          </w:p>
        </w:tc>
        <w:tc>
          <w:tcPr>
            <w:tcW w:w="1311" w:type="dxa"/>
            <w:tcBorders>
              <w:top w:val="single" w:color="auto" w:sz="4" w:space="0"/>
              <w:left w:val="nil"/>
              <w:bottom w:val="single" w:color="auto" w:sz="4" w:space="0"/>
              <w:right w:val="single" w:color="auto" w:sz="4" w:space="0"/>
            </w:tcBorders>
            <w:shd w:val="clear" w:color="auto" w:fill="auto"/>
            <w:vAlign w:val="center"/>
          </w:tcPr>
          <w:p w14:paraId="1D54EE0C">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取样员</w:t>
            </w:r>
          </w:p>
          <w:p w14:paraId="34F7F5A4">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（证号）</w:t>
            </w:r>
          </w:p>
        </w:tc>
      </w:tr>
      <w:tr w14:paraId="6DB1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89F68F2">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bookmarkStart w:id="1" w:name="OLE_LINK4"/>
            <w:bookmarkEnd w:id="1"/>
          </w:p>
        </w:tc>
        <w:tc>
          <w:tcPr>
            <w:tcW w:w="1299" w:type="dxa"/>
            <w:tcBorders>
              <w:top w:val="single" w:color="auto" w:sz="4" w:space="0"/>
              <w:left w:val="nil"/>
              <w:bottom w:val="single" w:color="auto" w:sz="4" w:space="0"/>
              <w:right w:val="single" w:color="auto" w:sz="4" w:space="0"/>
            </w:tcBorders>
            <w:shd w:val="clear" w:color="auto" w:fill="auto"/>
            <w:vAlign w:val="center"/>
          </w:tcPr>
          <w:p w14:paraId="7CF7204B">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38A6C40A">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697DAB7C">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385" w:type="dxa"/>
            <w:tcBorders>
              <w:top w:val="single" w:color="auto" w:sz="4" w:space="0"/>
              <w:left w:val="nil"/>
              <w:bottom w:val="single" w:color="auto" w:sz="4" w:space="0"/>
              <w:right w:val="single" w:color="auto" w:sz="4" w:space="0"/>
            </w:tcBorders>
            <w:shd w:val="clear" w:color="auto" w:fill="auto"/>
            <w:vAlign w:val="center"/>
          </w:tcPr>
          <w:p w14:paraId="21B9C06B">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3072" w:type="dxa"/>
            <w:tcBorders>
              <w:top w:val="single" w:color="auto" w:sz="4" w:space="0"/>
              <w:left w:val="nil"/>
              <w:bottom w:val="single" w:color="auto" w:sz="4" w:space="0"/>
              <w:right w:val="single" w:color="auto" w:sz="4" w:space="0"/>
            </w:tcBorders>
            <w:shd w:val="clear" w:color="auto" w:fill="auto"/>
            <w:vAlign w:val="center"/>
          </w:tcPr>
          <w:p w14:paraId="0F06C288">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420" w:type="dxa"/>
            <w:tcBorders>
              <w:top w:val="single" w:color="auto" w:sz="4" w:space="0"/>
              <w:left w:val="nil"/>
              <w:bottom w:val="single" w:color="auto" w:sz="4" w:space="0"/>
              <w:right w:val="single" w:color="auto" w:sz="4" w:space="0"/>
            </w:tcBorders>
            <w:shd w:val="clear" w:color="auto" w:fill="auto"/>
            <w:vAlign w:val="top"/>
          </w:tcPr>
          <w:p w14:paraId="3FBFCC3C">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54CA3BDD">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11BF8420">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5BD98505">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r>
      <w:tr w14:paraId="5B5F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DEDF08">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299" w:type="dxa"/>
            <w:tcBorders>
              <w:top w:val="single" w:color="auto" w:sz="4" w:space="0"/>
              <w:left w:val="nil"/>
              <w:bottom w:val="single" w:color="auto" w:sz="4" w:space="0"/>
              <w:right w:val="single" w:color="auto" w:sz="4" w:space="0"/>
            </w:tcBorders>
            <w:shd w:val="clear" w:color="auto" w:fill="auto"/>
            <w:vAlign w:val="center"/>
          </w:tcPr>
          <w:p w14:paraId="58B31A86">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6D1C7E8B">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2AB4F2E1">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385" w:type="dxa"/>
            <w:tcBorders>
              <w:top w:val="single" w:color="auto" w:sz="4" w:space="0"/>
              <w:left w:val="nil"/>
              <w:bottom w:val="single" w:color="auto" w:sz="4" w:space="0"/>
              <w:right w:val="single" w:color="auto" w:sz="4" w:space="0"/>
            </w:tcBorders>
            <w:shd w:val="clear" w:color="auto" w:fill="auto"/>
            <w:vAlign w:val="center"/>
          </w:tcPr>
          <w:p w14:paraId="796B372C">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3072" w:type="dxa"/>
            <w:tcBorders>
              <w:top w:val="single" w:color="auto" w:sz="4" w:space="0"/>
              <w:left w:val="nil"/>
              <w:bottom w:val="single" w:color="auto" w:sz="4" w:space="0"/>
              <w:right w:val="single" w:color="auto" w:sz="4" w:space="0"/>
            </w:tcBorders>
            <w:shd w:val="clear" w:color="auto" w:fill="auto"/>
            <w:vAlign w:val="center"/>
          </w:tcPr>
          <w:p w14:paraId="3E59B41D">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420" w:type="dxa"/>
            <w:tcBorders>
              <w:top w:val="single" w:color="auto" w:sz="4" w:space="0"/>
              <w:left w:val="nil"/>
              <w:bottom w:val="single" w:color="auto" w:sz="4" w:space="0"/>
              <w:right w:val="single" w:color="auto" w:sz="4" w:space="0"/>
            </w:tcBorders>
            <w:shd w:val="clear" w:color="auto" w:fill="auto"/>
            <w:vAlign w:val="top"/>
          </w:tcPr>
          <w:p w14:paraId="256BC7FB">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06E17034">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0941D34A">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7427B6B9">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r>
      <w:tr w14:paraId="204C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8070E67">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c>
          <w:tcPr>
            <w:tcW w:w="1299" w:type="dxa"/>
            <w:tcBorders>
              <w:top w:val="single" w:color="auto" w:sz="4" w:space="0"/>
              <w:left w:val="nil"/>
              <w:bottom w:val="single" w:color="auto" w:sz="4" w:space="0"/>
              <w:right w:val="single" w:color="auto" w:sz="4" w:space="0"/>
            </w:tcBorders>
            <w:shd w:val="clear" w:color="auto" w:fill="auto"/>
            <w:vAlign w:val="center"/>
          </w:tcPr>
          <w:p w14:paraId="2DAAA8D1">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6E75C3A7">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3C20761B">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85" w:type="dxa"/>
            <w:tcBorders>
              <w:top w:val="single" w:color="auto" w:sz="4" w:space="0"/>
              <w:left w:val="nil"/>
              <w:bottom w:val="single" w:color="auto" w:sz="4" w:space="0"/>
              <w:right w:val="single" w:color="auto" w:sz="4" w:space="0"/>
            </w:tcBorders>
            <w:shd w:val="clear" w:color="auto" w:fill="auto"/>
            <w:vAlign w:val="center"/>
          </w:tcPr>
          <w:p w14:paraId="6E13FC46">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3072" w:type="dxa"/>
            <w:tcBorders>
              <w:top w:val="single" w:color="auto" w:sz="4" w:space="0"/>
              <w:left w:val="nil"/>
              <w:bottom w:val="single" w:color="auto" w:sz="4" w:space="0"/>
              <w:right w:val="single" w:color="auto" w:sz="4" w:space="0"/>
            </w:tcBorders>
            <w:shd w:val="clear" w:color="auto" w:fill="auto"/>
            <w:vAlign w:val="center"/>
          </w:tcPr>
          <w:p w14:paraId="366C4BB0">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420" w:type="dxa"/>
            <w:tcBorders>
              <w:top w:val="single" w:color="auto" w:sz="4" w:space="0"/>
              <w:left w:val="nil"/>
              <w:bottom w:val="single" w:color="auto" w:sz="4" w:space="0"/>
              <w:right w:val="single" w:color="auto" w:sz="4" w:space="0"/>
            </w:tcBorders>
            <w:shd w:val="clear" w:color="auto" w:fill="auto"/>
            <w:vAlign w:val="top"/>
          </w:tcPr>
          <w:p w14:paraId="1E639903">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28F47BD8">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6A13E5F6">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4B779329">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r>
      <w:tr w14:paraId="54FD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6B1FB68">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c>
          <w:tcPr>
            <w:tcW w:w="1299" w:type="dxa"/>
            <w:tcBorders>
              <w:top w:val="single" w:color="auto" w:sz="4" w:space="0"/>
              <w:left w:val="nil"/>
              <w:bottom w:val="single" w:color="auto" w:sz="4" w:space="0"/>
              <w:right w:val="single" w:color="auto" w:sz="4" w:space="0"/>
            </w:tcBorders>
            <w:shd w:val="clear" w:color="auto" w:fill="auto"/>
            <w:vAlign w:val="center"/>
          </w:tcPr>
          <w:p w14:paraId="21895365">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7D051838">
            <w:pPr>
              <w:keepNext w:val="0"/>
              <w:keepLines w:val="0"/>
              <w:widowControl w:val="0"/>
              <w:suppressLineNumbers w:val="0"/>
              <w:spacing w:before="0" w:beforeAutospacing="0" w:after="0" w:afterAutospacing="0"/>
              <w:ind w:left="0" w:right="0"/>
              <w:jc w:val="center"/>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607D3084">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1385" w:type="dxa"/>
            <w:tcBorders>
              <w:top w:val="single" w:color="auto" w:sz="4" w:space="0"/>
              <w:left w:val="nil"/>
              <w:bottom w:val="single" w:color="auto" w:sz="4" w:space="0"/>
              <w:right w:val="single" w:color="auto" w:sz="4" w:space="0"/>
            </w:tcBorders>
            <w:shd w:val="clear" w:color="auto" w:fill="auto"/>
            <w:vAlign w:val="center"/>
          </w:tcPr>
          <w:p w14:paraId="2E6A93C8">
            <w:pPr>
              <w:keepNext w:val="0"/>
              <w:keepLines w:val="0"/>
              <w:widowControl w:val="0"/>
              <w:suppressLineNumbers w:val="0"/>
              <w:snapToGrid w:val="0"/>
              <w:spacing w:before="0" w:beforeAutospacing="0" w:after="0" w:afterAutospacing="0" w:line="540" w:lineRule="exact"/>
              <w:ind w:left="0" w:right="0"/>
              <w:jc w:val="center"/>
              <w:rPr>
                <w:rFonts w:hint="default" w:ascii="Calibri" w:hAnsi="Calibri" w:eastAsia="方正仿宋_GBK" w:cs="Times New Roman"/>
                <w:b/>
                <w:bCs w:val="0"/>
                <w:kern w:val="2"/>
                <w:sz w:val="18"/>
                <w:szCs w:val="18"/>
              </w:rPr>
            </w:pPr>
          </w:p>
        </w:tc>
        <w:tc>
          <w:tcPr>
            <w:tcW w:w="3072" w:type="dxa"/>
            <w:tcBorders>
              <w:top w:val="single" w:color="auto" w:sz="4" w:space="0"/>
              <w:left w:val="nil"/>
              <w:bottom w:val="single" w:color="auto" w:sz="4" w:space="0"/>
              <w:right w:val="single" w:color="auto" w:sz="4" w:space="0"/>
            </w:tcBorders>
            <w:shd w:val="clear" w:color="auto" w:fill="auto"/>
            <w:vAlign w:val="center"/>
          </w:tcPr>
          <w:p w14:paraId="552F1479">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c>
          <w:tcPr>
            <w:tcW w:w="1420" w:type="dxa"/>
            <w:tcBorders>
              <w:top w:val="single" w:color="auto" w:sz="4" w:space="0"/>
              <w:left w:val="nil"/>
              <w:bottom w:val="single" w:color="auto" w:sz="4" w:space="0"/>
              <w:right w:val="single" w:color="auto" w:sz="4" w:space="0"/>
            </w:tcBorders>
            <w:shd w:val="clear" w:color="auto" w:fill="auto"/>
            <w:vAlign w:val="top"/>
          </w:tcPr>
          <w:p w14:paraId="58FFD211">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7DF50C23">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08BCF82B">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c>
          <w:tcPr>
            <w:tcW w:w="1311" w:type="dxa"/>
            <w:tcBorders>
              <w:top w:val="single" w:color="auto" w:sz="4" w:space="0"/>
              <w:left w:val="nil"/>
              <w:bottom w:val="single" w:color="auto" w:sz="4" w:space="0"/>
              <w:right w:val="single" w:color="auto" w:sz="4" w:space="0"/>
            </w:tcBorders>
            <w:shd w:val="clear" w:color="auto" w:fill="auto"/>
            <w:vAlign w:val="top"/>
          </w:tcPr>
          <w:p w14:paraId="28FB921D">
            <w:pPr>
              <w:keepNext w:val="0"/>
              <w:keepLines w:val="0"/>
              <w:widowControl w:val="0"/>
              <w:suppressLineNumbers w:val="0"/>
              <w:snapToGrid w:val="0"/>
              <w:spacing w:before="0" w:beforeAutospacing="0" w:after="0" w:afterAutospacing="0" w:line="540" w:lineRule="exact"/>
              <w:ind w:left="0" w:right="0"/>
              <w:jc w:val="both"/>
              <w:rPr>
                <w:rFonts w:hint="default" w:ascii="Calibri" w:hAnsi="Calibri" w:eastAsia="方正仿宋_GBK" w:cs="Times New Roman"/>
                <w:b/>
                <w:bCs w:val="0"/>
                <w:kern w:val="2"/>
                <w:sz w:val="18"/>
                <w:szCs w:val="18"/>
              </w:rPr>
            </w:pPr>
          </w:p>
        </w:tc>
      </w:tr>
    </w:tbl>
    <w:p w14:paraId="7A9EE08A">
      <w:pPr>
        <w:keepNext w:val="0"/>
        <w:keepLines w:val="0"/>
        <w:widowControl w:val="0"/>
        <w:suppressLineNumbers w:val="0"/>
        <w:adjustRightInd w:val="0"/>
        <w:snapToGrid w:val="0"/>
        <w:spacing w:before="0" w:beforeAutospacing="0" w:after="0" w:afterAutospacing="0" w:line="54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批准人：</w:t>
      </w:r>
      <w:r>
        <w:rPr>
          <w:rFonts w:hint="default" w:ascii="Calibri" w:hAnsi="Calibri" w:eastAsia="方正仿宋_GBK" w:cs="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审核人：</w:t>
      </w:r>
      <w:r>
        <w:rPr>
          <w:rFonts w:hint="default" w:ascii="Calibri" w:hAnsi="Calibri" w:eastAsia="方正仿宋_GBK" w:cs="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制表人：</w:t>
      </w:r>
    </w:p>
    <w:p w14:paraId="0C65638D">
      <w:pPr>
        <w:keepNext w:val="0"/>
        <w:keepLines w:val="0"/>
        <w:widowControl w:val="0"/>
        <w:suppressLineNumbers w:val="0"/>
        <w:spacing w:before="0" w:beforeAutospacing="0" w:after="0" w:afterAutospacing="0"/>
        <w:ind w:left="0" w:right="0" w:firstLine="422" w:firstLineChars="200"/>
        <w:jc w:val="both"/>
        <w:rPr>
          <w:rFonts w:hint="default" w:ascii="方正黑体_GBK" w:hAnsi="方正黑体_GBK" w:eastAsia="宋体" w:cs="Times New Roman"/>
          <w:kern w:val="2"/>
          <w:sz w:val="32"/>
          <w:szCs w:val="32"/>
        </w:rPr>
      </w:pPr>
      <w:r>
        <w:rPr>
          <w:rFonts w:hint="default" w:ascii="Calibri" w:hAnsi="Calibri" w:eastAsia="方正仿宋_GBK" w:cs="Times New Roman"/>
          <w:b/>
          <w:bCs w:val="0"/>
          <w:kern w:val="2"/>
          <w:sz w:val="21"/>
          <w:szCs w:val="21"/>
          <w:shd w:val="clear" w:fill="FFFFFF"/>
          <w:lang w:val="en-US" w:eastAsia="zh-CN" w:bidi="ar"/>
        </w:rPr>
        <w:br w:type="page"/>
      </w:r>
      <w:r>
        <w:rPr>
          <w:rFonts w:hint="eastAsia" w:ascii="宋体" w:hAnsi="宋体" w:eastAsia="宋体" w:cs="宋体"/>
          <w:kern w:val="2"/>
          <w:sz w:val="32"/>
          <w:szCs w:val="32"/>
          <w:lang w:val="en-US" w:eastAsia="zh-CN" w:bidi="ar"/>
        </w:rPr>
        <w:t>附件</w:t>
      </w:r>
      <w:r>
        <w:rPr>
          <w:rFonts w:hint="default" w:ascii="方正黑体_GBK" w:hAnsi="方正黑体_GBK" w:eastAsia="宋体" w:cs="Times New Roman"/>
          <w:kern w:val="2"/>
          <w:sz w:val="32"/>
          <w:szCs w:val="32"/>
          <w:lang w:val="en-US" w:eastAsia="zh-CN" w:bidi="ar"/>
        </w:rPr>
        <w:t>2</w:t>
      </w:r>
    </w:p>
    <w:p w14:paraId="66C26F3E">
      <w:pPr>
        <w:keepNext w:val="0"/>
        <w:keepLines w:val="0"/>
        <w:widowControl w:val="0"/>
        <w:suppressLineNumbers w:val="0"/>
        <w:spacing w:before="0" w:beforeAutospacing="0" w:after="0" w:afterAutospacing="0"/>
        <w:ind w:left="0" w:right="0" w:firstLine="880" w:firstLineChars="200"/>
        <w:jc w:val="center"/>
        <w:rPr>
          <w:rFonts w:hint="eastAsia" w:ascii="方正小标宋_GBK" w:hAnsi="仿宋" w:eastAsia="宋体" w:cs="Times New Roman"/>
          <w:kern w:val="2"/>
          <w:sz w:val="44"/>
          <w:szCs w:val="44"/>
          <w:shd w:val="clear" w:fill="FFFFFF"/>
        </w:rPr>
      </w:pPr>
      <w:r>
        <w:rPr>
          <w:rFonts w:hint="eastAsia" w:ascii="宋体" w:hAnsi="宋体" w:eastAsia="宋体" w:cs="宋体"/>
          <w:kern w:val="2"/>
          <w:sz w:val="44"/>
          <w:szCs w:val="44"/>
          <w:lang w:val="en-US" w:eastAsia="zh-CN" w:bidi="ar"/>
        </w:rPr>
        <w:t>一般检测不合格项目闭合处理方式一览表</w:t>
      </w:r>
    </w:p>
    <w:tbl>
      <w:tblPr>
        <w:tblStyle w:val="2"/>
        <w:tblW w:w="14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767"/>
        <w:gridCol w:w="1864"/>
        <w:gridCol w:w="1545"/>
        <w:gridCol w:w="2175"/>
        <w:gridCol w:w="4920"/>
        <w:gridCol w:w="1689"/>
      </w:tblGrid>
      <w:tr w14:paraId="5145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3FF22AB">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序号</w:t>
            </w:r>
          </w:p>
        </w:tc>
        <w:tc>
          <w:tcPr>
            <w:tcW w:w="1767" w:type="dxa"/>
            <w:tcBorders>
              <w:top w:val="single" w:color="auto" w:sz="4" w:space="0"/>
              <w:left w:val="nil"/>
              <w:bottom w:val="single" w:color="auto" w:sz="4" w:space="0"/>
              <w:right w:val="single" w:color="auto" w:sz="4" w:space="0"/>
            </w:tcBorders>
            <w:shd w:val="clear" w:color="auto" w:fill="auto"/>
            <w:vAlign w:val="center"/>
          </w:tcPr>
          <w:p w14:paraId="66AE02DF">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不合格项目</w:t>
            </w:r>
          </w:p>
        </w:tc>
        <w:tc>
          <w:tcPr>
            <w:tcW w:w="1864" w:type="dxa"/>
            <w:tcBorders>
              <w:top w:val="single" w:color="auto" w:sz="4" w:space="0"/>
              <w:left w:val="nil"/>
              <w:bottom w:val="single" w:color="auto" w:sz="4" w:space="0"/>
              <w:right w:val="single" w:color="auto" w:sz="4" w:space="0"/>
            </w:tcBorders>
            <w:shd w:val="clear" w:color="auto" w:fill="auto"/>
            <w:vAlign w:val="center"/>
          </w:tcPr>
          <w:p w14:paraId="3C1763A4">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检测机构通知委托单位的时间</w:t>
            </w:r>
          </w:p>
        </w:tc>
        <w:tc>
          <w:tcPr>
            <w:tcW w:w="1545" w:type="dxa"/>
            <w:tcBorders>
              <w:top w:val="single" w:color="auto" w:sz="4" w:space="0"/>
              <w:left w:val="nil"/>
              <w:bottom w:val="single" w:color="auto" w:sz="4" w:space="0"/>
              <w:right w:val="single" w:color="auto" w:sz="4" w:space="0"/>
            </w:tcBorders>
            <w:shd w:val="clear" w:color="auto" w:fill="auto"/>
            <w:vAlign w:val="center"/>
          </w:tcPr>
          <w:p w14:paraId="7523D2E9">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处理方法</w:t>
            </w:r>
          </w:p>
        </w:tc>
        <w:tc>
          <w:tcPr>
            <w:tcW w:w="2175" w:type="dxa"/>
            <w:tcBorders>
              <w:top w:val="single" w:color="auto" w:sz="4" w:space="0"/>
              <w:left w:val="nil"/>
              <w:bottom w:val="single" w:color="auto" w:sz="4" w:space="0"/>
              <w:right w:val="single" w:color="auto" w:sz="4" w:space="0"/>
            </w:tcBorders>
            <w:shd w:val="clear" w:color="auto" w:fill="auto"/>
            <w:vAlign w:val="center"/>
          </w:tcPr>
          <w:p w14:paraId="4BE82B76">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处理期限</w:t>
            </w:r>
          </w:p>
        </w:tc>
        <w:tc>
          <w:tcPr>
            <w:tcW w:w="4920" w:type="dxa"/>
            <w:tcBorders>
              <w:top w:val="single" w:color="auto" w:sz="4" w:space="0"/>
              <w:left w:val="nil"/>
              <w:bottom w:val="single" w:color="auto" w:sz="4" w:space="0"/>
              <w:right w:val="single" w:color="auto" w:sz="4" w:space="0"/>
            </w:tcBorders>
            <w:shd w:val="clear" w:color="auto" w:fill="auto"/>
            <w:vAlign w:val="center"/>
          </w:tcPr>
          <w:p w14:paraId="73AE32A0">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闭合资料</w:t>
            </w:r>
          </w:p>
        </w:tc>
        <w:tc>
          <w:tcPr>
            <w:tcW w:w="1689" w:type="dxa"/>
            <w:tcBorders>
              <w:top w:val="single" w:color="auto" w:sz="4" w:space="0"/>
              <w:left w:val="nil"/>
              <w:bottom w:val="single" w:color="auto" w:sz="4" w:space="0"/>
              <w:right w:val="single" w:color="auto" w:sz="4" w:space="0"/>
            </w:tcBorders>
            <w:shd w:val="clear" w:color="auto" w:fill="auto"/>
            <w:vAlign w:val="center"/>
          </w:tcPr>
          <w:p w14:paraId="2A07382D">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闭合时间</w:t>
            </w:r>
          </w:p>
        </w:tc>
      </w:tr>
      <w:tr w14:paraId="7683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4F57AD2">
            <w:pPr>
              <w:keepNext w:val="0"/>
              <w:keepLines w:val="0"/>
              <w:widowControl w:val="0"/>
              <w:suppressLineNumbers w:val="0"/>
              <w:spacing w:before="0" w:beforeAutospacing="0" w:after="0" w:afterAutospacing="0" w:line="32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w:t>
            </w:r>
          </w:p>
        </w:tc>
        <w:tc>
          <w:tcPr>
            <w:tcW w:w="1767" w:type="dxa"/>
            <w:tcBorders>
              <w:top w:val="single" w:color="auto" w:sz="4" w:space="0"/>
              <w:left w:val="nil"/>
              <w:bottom w:val="single" w:color="auto" w:sz="4" w:space="0"/>
              <w:right w:val="single" w:color="auto" w:sz="4" w:space="0"/>
            </w:tcBorders>
            <w:shd w:val="clear" w:color="auto" w:fill="auto"/>
            <w:vAlign w:val="center"/>
          </w:tcPr>
          <w:p w14:paraId="397AB2E9">
            <w:pPr>
              <w:keepNext w:val="0"/>
              <w:keepLines w:val="0"/>
              <w:widowControl w:val="0"/>
              <w:suppressLineNumbers w:val="0"/>
              <w:spacing w:before="0" w:beforeAutospacing="0" w:after="0" w:afterAutospacing="0" w:line="32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材料</w:t>
            </w:r>
          </w:p>
        </w:tc>
        <w:tc>
          <w:tcPr>
            <w:tcW w:w="1864" w:type="dxa"/>
            <w:tcBorders>
              <w:top w:val="single" w:color="auto" w:sz="4" w:space="0"/>
              <w:left w:val="nil"/>
              <w:bottom w:val="single" w:color="auto" w:sz="4" w:space="0"/>
              <w:right w:val="single" w:color="auto" w:sz="4" w:space="0"/>
            </w:tcBorders>
            <w:shd w:val="clear" w:color="auto" w:fill="auto"/>
            <w:vAlign w:val="center"/>
          </w:tcPr>
          <w:p w14:paraId="01B45AC8">
            <w:pPr>
              <w:keepNext w:val="0"/>
              <w:keepLines w:val="0"/>
              <w:widowControl w:val="0"/>
              <w:suppressLineNumbers w:val="0"/>
              <w:spacing w:before="0" w:beforeAutospacing="0" w:after="0" w:afterAutospacing="0" w:line="32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数据采集完成后24小时内</w:t>
            </w:r>
          </w:p>
        </w:tc>
        <w:tc>
          <w:tcPr>
            <w:tcW w:w="1545" w:type="dxa"/>
            <w:tcBorders>
              <w:top w:val="single" w:color="auto" w:sz="4" w:space="0"/>
              <w:left w:val="nil"/>
              <w:bottom w:val="single" w:color="auto" w:sz="4" w:space="0"/>
              <w:right w:val="single" w:color="auto" w:sz="4" w:space="0"/>
            </w:tcBorders>
            <w:shd w:val="clear" w:color="auto" w:fill="auto"/>
            <w:vAlign w:val="center"/>
          </w:tcPr>
          <w:p w14:paraId="2EE45293">
            <w:pPr>
              <w:keepNext w:val="0"/>
              <w:keepLines w:val="0"/>
              <w:widowControl w:val="0"/>
              <w:suppressLineNumbers w:val="0"/>
              <w:spacing w:before="0" w:beforeAutospacing="0" w:after="0" w:afterAutospacing="0" w:line="32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按本规定第九条第（一）项处理</w:t>
            </w:r>
          </w:p>
        </w:tc>
        <w:tc>
          <w:tcPr>
            <w:tcW w:w="2175" w:type="dxa"/>
            <w:tcBorders>
              <w:top w:val="single" w:color="auto" w:sz="4" w:space="0"/>
              <w:left w:val="nil"/>
              <w:bottom w:val="single" w:color="auto" w:sz="4" w:space="0"/>
              <w:right w:val="single" w:color="auto" w:sz="4" w:space="0"/>
            </w:tcBorders>
            <w:shd w:val="clear" w:color="auto" w:fill="auto"/>
            <w:vAlign w:val="center"/>
          </w:tcPr>
          <w:p w14:paraId="099C35D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接到检测机构通知后：</w:t>
            </w:r>
          </w:p>
          <w:p w14:paraId="00D2CB6B">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1.钢筋连接件：3个工作日内。</w:t>
            </w:r>
          </w:p>
          <w:p w14:paraId="6D6620A3">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2.材料退场：3个工作日内。</w:t>
            </w:r>
          </w:p>
          <w:p w14:paraId="5162F28E">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3.分项、分部（子分部）工程验收前。</w:t>
            </w:r>
          </w:p>
        </w:tc>
        <w:tc>
          <w:tcPr>
            <w:tcW w:w="4920" w:type="dxa"/>
            <w:tcBorders>
              <w:top w:val="single" w:color="auto" w:sz="4" w:space="0"/>
              <w:left w:val="nil"/>
              <w:bottom w:val="single" w:color="auto" w:sz="4" w:space="0"/>
              <w:right w:val="single" w:color="auto" w:sz="4" w:space="0"/>
            </w:tcBorders>
            <w:shd w:val="clear" w:color="auto" w:fill="auto"/>
            <w:vAlign w:val="center"/>
          </w:tcPr>
          <w:p w14:paraId="12128404">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 材料退场的照片或影像资料。</w:t>
            </w:r>
          </w:p>
          <w:p w14:paraId="44D5A0A4">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 材料退场记录。</w:t>
            </w:r>
          </w:p>
          <w:p w14:paraId="4C7E71F5">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 材料进场记录及复验报告。</w:t>
            </w:r>
          </w:p>
          <w:p w14:paraId="48371969">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 检测鉴定报告。</w:t>
            </w:r>
          </w:p>
          <w:p w14:paraId="463D3EB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 设计核验文件。</w:t>
            </w:r>
          </w:p>
          <w:p w14:paraId="44CA8A56">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6. 经设计、监理等参建有关各方确认的工程质量问题处理方案。</w:t>
            </w:r>
          </w:p>
          <w:p w14:paraId="07B05AE2">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7. 工程质量问题处理记录和影像资料。</w:t>
            </w:r>
          </w:p>
          <w:p w14:paraId="095E9D41">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8. 参建有关各方验收记录。</w:t>
            </w:r>
          </w:p>
        </w:tc>
        <w:tc>
          <w:tcPr>
            <w:tcW w:w="1689" w:type="dxa"/>
            <w:vMerge w:val="restart"/>
            <w:tcBorders>
              <w:top w:val="nil"/>
              <w:left w:val="nil"/>
              <w:bottom w:val="single" w:color="auto" w:sz="4" w:space="0"/>
              <w:right w:val="single" w:color="auto" w:sz="4" w:space="0"/>
            </w:tcBorders>
            <w:shd w:val="clear" w:color="auto" w:fill="auto"/>
            <w:vAlign w:val="center"/>
          </w:tcPr>
          <w:p w14:paraId="334EA9EB">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完成处理工作后，取样员应在3个工作日内智慧工地平台填报处理情况及处理时间，并由见证员予以确认。</w:t>
            </w:r>
          </w:p>
        </w:tc>
      </w:tr>
      <w:tr w14:paraId="3FF4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B8A6408">
            <w:pPr>
              <w:keepNext w:val="0"/>
              <w:keepLines w:val="0"/>
              <w:widowControl w:val="0"/>
              <w:suppressLineNumbers w:val="0"/>
              <w:spacing w:before="0" w:beforeAutospacing="0" w:after="0" w:afterAutospacing="0" w:line="32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w:t>
            </w:r>
          </w:p>
        </w:tc>
        <w:tc>
          <w:tcPr>
            <w:tcW w:w="1767" w:type="dxa"/>
            <w:tcBorders>
              <w:top w:val="single" w:color="auto" w:sz="4" w:space="0"/>
              <w:left w:val="nil"/>
              <w:bottom w:val="single" w:color="auto" w:sz="4" w:space="0"/>
              <w:right w:val="single" w:color="auto" w:sz="4" w:space="0"/>
            </w:tcBorders>
            <w:shd w:val="clear" w:color="auto" w:fill="auto"/>
            <w:vAlign w:val="center"/>
          </w:tcPr>
          <w:p w14:paraId="464C1786">
            <w:pPr>
              <w:keepNext w:val="0"/>
              <w:keepLines w:val="0"/>
              <w:widowControl w:val="0"/>
              <w:suppressLineNumbers w:val="0"/>
              <w:spacing w:before="0" w:beforeAutospacing="0" w:after="0" w:afterAutospacing="0" w:line="32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工程实体质量</w:t>
            </w:r>
          </w:p>
        </w:tc>
        <w:tc>
          <w:tcPr>
            <w:tcW w:w="1864" w:type="dxa"/>
            <w:tcBorders>
              <w:top w:val="single" w:color="auto" w:sz="4" w:space="0"/>
              <w:left w:val="nil"/>
              <w:bottom w:val="single" w:color="auto" w:sz="4" w:space="0"/>
              <w:right w:val="single" w:color="auto" w:sz="4" w:space="0"/>
            </w:tcBorders>
            <w:shd w:val="clear" w:color="auto" w:fill="auto"/>
            <w:vAlign w:val="center"/>
          </w:tcPr>
          <w:p w14:paraId="17626423">
            <w:pPr>
              <w:keepNext w:val="0"/>
              <w:keepLines w:val="0"/>
              <w:widowControl w:val="0"/>
              <w:suppressLineNumbers w:val="0"/>
              <w:spacing w:before="0" w:beforeAutospacing="0" w:after="0" w:afterAutospacing="0" w:line="32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确认检测结果后24小时内</w:t>
            </w:r>
          </w:p>
        </w:tc>
        <w:tc>
          <w:tcPr>
            <w:tcW w:w="1545" w:type="dxa"/>
            <w:tcBorders>
              <w:top w:val="single" w:color="auto" w:sz="4" w:space="0"/>
              <w:left w:val="nil"/>
              <w:bottom w:val="single" w:color="auto" w:sz="4" w:space="0"/>
              <w:right w:val="single" w:color="auto" w:sz="4" w:space="0"/>
            </w:tcBorders>
            <w:shd w:val="clear" w:color="auto" w:fill="auto"/>
            <w:vAlign w:val="center"/>
          </w:tcPr>
          <w:p w14:paraId="4B21375A">
            <w:pPr>
              <w:keepNext w:val="0"/>
              <w:keepLines w:val="0"/>
              <w:widowControl w:val="0"/>
              <w:suppressLineNumbers w:val="0"/>
              <w:spacing w:before="0" w:beforeAutospacing="0" w:after="0" w:afterAutospacing="0" w:line="32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按本规定第九条第（二）项处理</w:t>
            </w:r>
          </w:p>
        </w:tc>
        <w:tc>
          <w:tcPr>
            <w:tcW w:w="2175" w:type="dxa"/>
            <w:tcBorders>
              <w:top w:val="single" w:color="auto" w:sz="4" w:space="0"/>
              <w:left w:val="nil"/>
              <w:bottom w:val="single" w:color="auto" w:sz="4" w:space="0"/>
              <w:right w:val="single" w:color="auto" w:sz="4" w:space="0"/>
            </w:tcBorders>
            <w:shd w:val="clear" w:color="auto" w:fill="auto"/>
            <w:vAlign w:val="center"/>
          </w:tcPr>
          <w:p w14:paraId="48C79425">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分项、分部（子分部）工程验收前。</w:t>
            </w:r>
          </w:p>
        </w:tc>
        <w:tc>
          <w:tcPr>
            <w:tcW w:w="4920" w:type="dxa"/>
            <w:tcBorders>
              <w:top w:val="single" w:color="auto" w:sz="4" w:space="0"/>
              <w:left w:val="nil"/>
              <w:bottom w:val="single" w:color="auto" w:sz="4" w:space="0"/>
              <w:right w:val="single" w:color="auto" w:sz="4" w:space="0"/>
            </w:tcBorders>
            <w:shd w:val="clear" w:color="auto" w:fill="auto"/>
            <w:vAlign w:val="center"/>
          </w:tcPr>
          <w:p w14:paraId="619EBCA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 检测鉴定报告。</w:t>
            </w:r>
          </w:p>
          <w:p w14:paraId="103958EF">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 设计核验文件。</w:t>
            </w:r>
          </w:p>
          <w:p w14:paraId="5F568F74">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 经设计、监理等参建有关各方确认的工程质量问题处理方案。</w:t>
            </w:r>
          </w:p>
          <w:p w14:paraId="395AE615">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 工程质量问题处理记录、照片或影像资料。</w:t>
            </w:r>
          </w:p>
          <w:p w14:paraId="21D21BEC">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 参建有关各方验收记录。</w:t>
            </w:r>
          </w:p>
        </w:tc>
        <w:tc>
          <w:tcPr>
            <w:tcW w:w="1689" w:type="dxa"/>
            <w:vMerge w:val="continue"/>
            <w:tcBorders>
              <w:top w:val="nil"/>
              <w:left w:val="nil"/>
              <w:bottom w:val="single" w:color="auto" w:sz="4" w:space="0"/>
              <w:right w:val="single" w:color="auto" w:sz="4" w:space="0"/>
            </w:tcBorders>
            <w:shd w:val="clear" w:color="auto" w:fill="auto"/>
            <w:vAlign w:val="center"/>
          </w:tcPr>
          <w:p w14:paraId="194FBA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5A9E8130">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注：应按不合格项目类型留存相应的质量控制资料作为闭合资料。</w:t>
      </w:r>
    </w:p>
    <w:p w14:paraId="04C6F913"/>
    <w:sectPr>
      <w:pgSz w:w="16838" w:h="11906" w:orient="landscape"/>
      <w:pgMar w:top="1531" w:right="1871" w:bottom="153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220D7"/>
    <w:rsid w:val="7445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2781</Words>
  <Characters>2802</Characters>
  <Lines>0</Lines>
  <Paragraphs>0</Paragraphs>
  <TotalTime>4</TotalTime>
  <ScaleCrop>false</ScaleCrop>
  <LinksUpToDate>false</LinksUpToDate>
  <CharactersWithSpaces>2994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2026-03-13T08:46:00Z</dcterms:created>
  <dc:creator>admin1</dc:creator>
  <cp:lastModifiedBy>JAM.Z</cp:lastModifiedBy>
  <dcterms:modified xsi:type="dcterms:W3CDTF">2026-03-16T03:15:04Z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eyJoZGlkIjoiY2Y0MTc3MWVjNWE0ZTNjYjlkNzk0YzRjZThhZWYyMTUiLCJ1c2VySWQiOiI5ODY5NzI2MzQifQ==</vt:lpwstr>
  </property>
  <property fmtid="{D5CDD505-2E9C-101B-9397-08002B2CF9AE}" pid="4" name="ICV">
    <vt:lpwstr>C2C5C0B8E2514966A217B51F85552989_12</vt:lpwstr>
  </property>
</Properties>
</file>