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0D877">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6F042DEE">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rPr>
      </w:pPr>
    </w:p>
    <w:p w14:paraId="5C7F0F0C">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西藏自治区建筑施工企业、工程项目安全</w:t>
      </w:r>
    </w:p>
    <w:p w14:paraId="4172E6F0">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生产管理机构设置及安全生产管理</w:t>
      </w:r>
    </w:p>
    <w:p w14:paraId="52FAEC3D">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人员配备办法实施细则</w:t>
      </w:r>
    </w:p>
    <w:bookmarkEnd w:id="0"/>
    <w:p w14:paraId="2DB03591">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50EBE3E7">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1BCDE9A4">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贯彻落实《建筑施工企业、工程项目安全生产管理机构设置及安全生产管理人员配备办法》（以下简称《办法》），进一步规范我区建筑施工企业（以下简称企业）及工程项目（以下简称项目）安全生产管理机构设置与人员配备，压实安全生产责任，提升安全治理能力，结合我区实际，制定本细则。</w:t>
      </w:r>
    </w:p>
    <w:p w14:paraId="0FC26258">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在本自治区行政区域内从事房屋建筑和市政基础设施工程（以下简称房屋市政工程）施工活动的企业及项目，其安全生产管理机构的设置及安全生产管理人员的配备，除应遵守《办法》规定外，还应符合本细则要求。</w:t>
      </w:r>
    </w:p>
    <w:p w14:paraId="3C14F72F">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企业及项目应牢固树立安全发展理念，坚持源头防控、系统治理。安全生产管理机构及人员应依法履职，强化风险分级管控与隐患排查治理双重预防机制建设，切实提升事故防范能力。</w:t>
      </w:r>
    </w:p>
    <w:p w14:paraId="3D212F2E">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自治区各级住房城乡建设主管部门</w:t>
      </w:r>
      <w:r>
        <w:rPr>
          <w:rFonts w:hint="eastAsia" w:ascii="仿宋_GB2312" w:hAnsi="仿宋_GB2312" w:eastAsia="仿宋_GB2312" w:cs="仿宋_GB2312"/>
          <w:sz w:val="32"/>
          <w:szCs w:val="32"/>
          <w:lang w:eastAsia="zh-CN"/>
        </w:rPr>
        <w:t>结合日常检查，以及西藏自治区房屋市政工程</w:t>
      </w:r>
      <w:r>
        <w:rPr>
          <w:rFonts w:hint="eastAsia" w:ascii="仿宋_GB2312" w:hAnsi="仿宋_GB2312" w:eastAsia="仿宋_GB2312" w:cs="仿宋_GB2312"/>
          <w:sz w:val="32"/>
          <w:szCs w:val="32"/>
        </w:rPr>
        <w:t>智慧化</w:t>
      </w:r>
      <w:r>
        <w:rPr>
          <w:rFonts w:hint="eastAsia" w:ascii="仿宋_GB2312" w:hAnsi="仿宋_GB2312" w:eastAsia="仿宋_GB2312" w:cs="仿宋_GB2312"/>
          <w:sz w:val="32"/>
          <w:szCs w:val="32"/>
          <w:lang w:eastAsia="zh-CN"/>
        </w:rPr>
        <w:t>服务与监管</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（以下简称平台）</w:t>
      </w:r>
      <w:r>
        <w:rPr>
          <w:rFonts w:hint="eastAsia" w:ascii="仿宋_GB2312" w:hAnsi="仿宋_GB2312" w:eastAsia="仿宋_GB2312" w:cs="仿宋_GB2312"/>
          <w:sz w:val="32"/>
          <w:szCs w:val="32"/>
        </w:rPr>
        <w:t>，加强对企业及项目安全生产管理机构设置、人员配备及履职情况</w:t>
      </w:r>
      <w:r>
        <w:rPr>
          <w:rFonts w:hint="eastAsia" w:ascii="仿宋_GB2312" w:hAnsi="仿宋_GB2312" w:eastAsia="仿宋_GB2312" w:cs="仿宋_GB2312"/>
          <w:sz w:val="32"/>
          <w:szCs w:val="32"/>
          <w:lang w:eastAsia="zh-CN"/>
        </w:rPr>
        <w:t>、安全生产权责体系建设</w:t>
      </w:r>
      <w:r>
        <w:rPr>
          <w:rFonts w:hint="eastAsia" w:ascii="仿宋_GB2312" w:hAnsi="仿宋_GB2312" w:eastAsia="仿宋_GB2312" w:cs="仿宋_GB2312"/>
          <w:sz w:val="32"/>
          <w:szCs w:val="32"/>
        </w:rPr>
        <w:t>的动态监管。</w:t>
      </w:r>
    </w:p>
    <w:p w14:paraId="7F5DB8F4">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企业机构设置和人员配备</w:t>
      </w:r>
    </w:p>
    <w:p w14:paraId="5747FBA3">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企业应严格按照《办法》第六条规定，建立健全以企业主要负责人为核心的安全生产责任体系，履行法定职责。</w:t>
      </w:r>
    </w:p>
    <w:p w14:paraId="5C964BD7">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具备条件的企业，特别是具有特级、一级施工总承包资质或一级专业承包资质的企业，应积极推行设立专职安全总监制度。安全总监的任职资格、职责及履职要求按《办法》第七条至第九条执行。</w:t>
      </w:r>
    </w:p>
    <w:p w14:paraId="0554E439">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企业</w:t>
      </w:r>
      <w:r>
        <w:rPr>
          <w:rFonts w:hint="eastAsia" w:ascii="仿宋_GB2312" w:hAnsi="仿宋_GB2312" w:eastAsia="仿宋_GB2312" w:cs="仿宋_GB2312"/>
          <w:sz w:val="32"/>
          <w:szCs w:val="32"/>
          <w:lang w:eastAsia="zh-CN"/>
        </w:rPr>
        <w:t>应当设置独立的安全生产管理机构，并按照《办法》第十八条规定的最低标准配备专职安全生产管理人员，具体标准如下表所示。同时，鼓励企业根据自身经营规模扩大、设备管理复杂度增加，因</w:t>
      </w:r>
      <w:r>
        <w:rPr>
          <w:rFonts w:hint="eastAsia" w:ascii="仿宋_GB2312" w:hAnsi="仿宋_GB2312" w:eastAsia="仿宋_GB2312" w:cs="仿宋_GB2312"/>
          <w:sz w:val="32"/>
          <w:szCs w:val="32"/>
        </w:rPr>
        <w:t>高海拔、复杂地质条件等</w:t>
      </w:r>
      <w:r>
        <w:rPr>
          <w:rFonts w:hint="eastAsia" w:ascii="仿宋_GB2312" w:hAnsi="仿宋_GB2312" w:eastAsia="仿宋_GB2312" w:cs="仿宋_GB2312"/>
          <w:sz w:val="32"/>
          <w:szCs w:val="32"/>
          <w:lang w:eastAsia="zh-CN"/>
        </w:rPr>
        <w:t>生产活动安全风险提高等实际情况</w:t>
      </w:r>
      <w:r>
        <w:rPr>
          <w:rFonts w:hint="eastAsia" w:ascii="仿宋_GB2312" w:hAnsi="仿宋_GB2312" w:eastAsia="仿宋_GB2312" w:cs="仿宋_GB2312"/>
          <w:sz w:val="32"/>
          <w:szCs w:val="32"/>
        </w:rPr>
        <w:t>，适当增配人员，确保管理能力与安全风险相匹配。</w:t>
      </w:r>
    </w:p>
    <w:p w14:paraId="527D2EE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楷体" w:hAnsi="楷体" w:eastAsia="楷体" w:cs="楷体"/>
          <w:sz w:val="28"/>
          <w:szCs w:val="28"/>
          <w:lang w:eastAsia="zh-CN"/>
        </w:rPr>
        <w:t>建筑施工企业安全生产管理机构安全生产管理人员最低配备标准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499"/>
        <w:gridCol w:w="1397"/>
        <w:gridCol w:w="3290"/>
        <w:gridCol w:w="996"/>
      </w:tblGrid>
      <w:tr w14:paraId="11DB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35" w:type="dxa"/>
            <w:noWrap w:val="0"/>
            <w:vAlign w:val="center"/>
          </w:tcPr>
          <w:p w14:paraId="22772E4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企业资质序列</w:t>
            </w:r>
          </w:p>
        </w:tc>
        <w:tc>
          <w:tcPr>
            <w:tcW w:w="1499" w:type="dxa"/>
            <w:noWrap w:val="0"/>
            <w:vAlign w:val="center"/>
          </w:tcPr>
          <w:p w14:paraId="32660C3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资质等级</w:t>
            </w:r>
          </w:p>
        </w:tc>
        <w:tc>
          <w:tcPr>
            <w:tcW w:w="1397" w:type="dxa"/>
            <w:noWrap w:val="0"/>
            <w:vAlign w:val="center"/>
          </w:tcPr>
          <w:p w14:paraId="5869299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企业法人和技术负责人最低配备人员</w:t>
            </w:r>
          </w:p>
        </w:tc>
        <w:tc>
          <w:tcPr>
            <w:tcW w:w="3290" w:type="dxa"/>
            <w:noWrap w:val="0"/>
            <w:vAlign w:val="center"/>
          </w:tcPr>
          <w:p w14:paraId="6ADBBA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专职安全生产管理人员最低配备人数</w:t>
            </w:r>
          </w:p>
        </w:tc>
        <w:tc>
          <w:tcPr>
            <w:tcW w:w="996" w:type="dxa"/>
            <w:noWrap w:val="0"/>
            <w:vAlign w:val="center"/>
          </w:tcPr>
          <w:p w14:paraId="0FC8370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vertAlign w:val="baseline"/>
                <w:lang w:eastAsia="zh-CN"/>
              </w:rPr>
            </w:pPr>
            <w:r>
              <w:rPr>
                <w:rFonts w:hint="eastAsia" w:ascii="黑体" w:hAnsi="黑体" w:eastAsia="黑体" w:cs="黑体"/>
                <w:sz w:val="15"/>
                <w:szCs w:val="15"/>
                <w:vertAlign w:val="baseline"/>
                <w:lang w:eastAsia="zh-CN"/>
              </w:rPr>
              <w:t>备注</w:t>
            </w:r>
          </w:p>
        </w:tc>
      </w:tr>
      <w:tr w14:paraId="549E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5" w:type="dxa"/>
            <w:vMerge w:val="restart"/>
            <w:noWrap w:val="0"/>
            <w:vAlign w:val="center"/>
          </w:tcPr>
          <w:p w14:paraId="13D0F18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施工总承包资质序列企业</w:t>
            </w:r>
          </w:p>
        </w:tc>
        <w:tc>
          <w:tcPr>
            <w:tcW w:w="1499" w:type="dxa"/>
            <w:noWrap w:val="0"/>
            <w:vAlign w:val="center"/>
          </w:tcPr>
          <w:p w14:paraId="7DB83C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特级资质</w:t>
            </w:r>
          </w:p>
        </w:tc>
        <w:tc>
          <w:tcPr>
            <w:tcW w:w="1397" w:type="dxa"/>
            <w:vMerge w:val="restart"/>
            <w:noWrap w:val="0"/>
            <w:vAlign w:val="center"/>
          </w:tcPr>
          <w:p w14:paraId="2DA75E4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企业主要负责人和技术负责人（A证）各1人</w:t>
            </w:r>
          </w:p>
        </w:tc>
        <w:tc>
          <w:tcPr>
            <w:tcW w:w="3290" w:type="dxa"/>
            <w:noWrap w:val="0"/>
            <w:vAlign w:val="center"/>
          </w:tcPr>
          <w:p w14:paraId="6750EDB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6人</w:t>
            </w:r>
          </w:p>
        </w:tc>
        <w:tc>
          <w:tcPr>
            <w:tcW w:w="996" w:type="dxa"/>
            <w:vMerge w:val="restart"/>
            <w:noWrap w:val="0"/>
            <w:vAlign w:val="center"/>
          </w:tcPr>
          <w:p w14:paraId="0A2C758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18"/>
                <w:szCs w:val="18"/>
                <w:vertAlign w:val="baseline"/>
                <w:lang w:val="en-US" w:eastAsia="zh-CN"/>
              </w:rPr>
              <w:t>企业分公司、区域公司等分支机构应依据实际生产情况，配备不少于2人专职安全生产管理人员</w:t>
            </w:r>
          </w:p>
        </w:tc>
      </w:tr>
      <w:tr w14:paraId="3219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5" w:type="dxa"/>
            <w:vMerge w:val="continue"/>
            <w:noWrap w:val="0"/>
            <w:vAlign w:val="center"/>
          </w:tcPr>
          <w:p w14:paraId="2B80B9B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1499" w:type="dxa"/>
            <w:noWrap w:val="0"/>
            <w:vAlign w:val="center"/>
          </w:tcPr>
          <w:p w14:paraId="5EF2FB0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一级资质</w:t>
            </w:r>
          </w:p>
        </w:tc>
        <w:tc>
          <w:tcPr>
            <w:tcW w:w="1397" w:type="dxa"/>
            <w:vMerge w:val="continue"/>
            <w:noWrap w:val="0"/>
            <w:vAlign w:val="center"/>
          </w:tcPr>
          <w:p w14:paraId="30AF473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p>
        </w:tc>
        <w:tc>
          <w:tcPr>
            <w:tcW w:w="3290" w:type="dxa"/>
            <w:noWrap w:val="0"/>
            <w:vAlign w:val="center"/>
          </w:tcPr>
          <w:p w14:paraId="142E13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4人</w:t>
            </w:r>
          </w:p>
        </w:tc>
        <w:tc>
          <w:tcPr>
            <w:tcW w:w="996" w:type="dxa"/>
            <w:vMerge w:val="continue"/>
            <w:noWrap w:val="0"/>
            <w:vAlign w:val="center"/>
          </w:tcPr>
          <w:p w14:paraId="320E39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3E2A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5" w:type="dxa"/>
            <w:vMerge w:val="continue"/>
            <w:noWrap w:val="0"/>
            <w:vAlign w:val="center"/>
          </w:tcPr>
          <w:p w14:paraId="761A8FD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1499" w:type="dxa"/>
            <w:noWrap w:val="0"/>
            <w:vAlign w:val="center"/>
          </w:tcPr>
          <w:p w14:paraId="57A2C7F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二级及以下资质（含不分等级）</w:t>
            </w:r>
          </w:p>
        </w:tc>
        <w:tc>
          <w:tcPr>
            <w:tcW w:w="1397" w:type="dxa"/>
            <w:vMerge w:val="continue"/>
            <w:noWrap w:val="0"/>
            <w:vAlign w:val="center"/>
          </w:tcPr>
          <w:p w14:paraId="65C6194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p>
        </w:tc>
        <w:tc>
          <w:tcPr>
            <w:tcW w:w="3290" w:type="dxa"/>
            <w:noWrap w:val="0"/>
            <w:vAlign w:val="center"/>
          </w:tcPr>
          <w:p w14:paraId="1B19562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3人</w:t>
            </w:r>
          </w:p>
        </w:tc>
        <w:tc>
          <w:tcPr>
            <w:tcW w:w="996" w:type="dxa"/>
            <w:vMerge w:val="continue"/>
            <w:noWrap w:val="0"/>
            <w:vAlign w:val="center"/>
          </w:tcPr>
          <w:p w14:paraId="7BDB63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43F2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5" w:type="dxa"/>
            <w:vMerge w:val="restart"/>
            <w:noWrap w:val="0"/>
            <w:vAlign w:val="center"/>
          </w:tcPr>
          <w:p w14:paraId="7DAF15B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专业承包资质序列企业</w:t>
            </w:r>
          </w:p>
        </w:tc>
        <w:tc>
          <w:tcPr>
            <w:tcW w:w="1499" w:type="dxa"/>
            <w:noWrap w:val="0"/>
            <w:vAlign w:val="center"/>
          </w:tcPr>
          <w:p w14:paraId="6BA8A10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一级资质</w:t>
            </w:r>
          </w:p>
        </w:tc>
        <w:tc>
          <w:tcPr>
            <w:tcW w:w="1397" w:type="dxa"/>
            <w:vMerge w:val="continue"/>
            <w:noWrap w:val="0"/>
            <w:vAlign w:val="center"/>
          </w:tcPr>
          <w:p w14:paraId="2DD669C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p>
        </w:tc>
        <w:tc>
          <w:tcPr>
            <w:tcW w:w="3290" w:type="dxa"/>
            <w:noWrap w:val="0"/>
            <w:vAlign w:val="center"/>
          </w:tcPr>
          <w:p w14:paraId="63B35C4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3人</w:t>
            </w:r>
          </w:p>
        </w:tc>
        <w:tc>
          <w:tcPr>
            <w:tcW w:w="996" w:type="dxa"/>
            <w:vMerge w:val="continue"/>
            <w:noWrap w:val="0"/>
            <w:vAlign w:val="center"/>
          </w:tcPr>
          <w:p w14:paraId="52E9C9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1214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5" w:type="dxa"/>
            <w:vMerge w:val="continue"/>
            <w:noWrap w:val="0"/>
            <w:vAlign w:val="center"/>
          </w:tcPr>
          <w:p w14:paraId="5E32722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1499" w:type="dxa"/>
            <w:noWrap w:val="0"/>
            <w:vAlign w:val="center"/>
          </w:tcPr>
          <w:p w14:paraId="7858177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二级以下（含不分等级）资质</w:t>
            </w:r>
          </w:p>
        </w:tc>
        <w:tc>
          <w:tcPr>
            <w:tcW w:w="1397" w:type="dxa"/>
            <w:vMerge w:val="continue"/>
            <w:noWrap w:val="0"/>
            <w:vAlign w:val="center"/>
          </w:tcPr>
          <w:p w14:paraId="323E248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p>
        </w:tc>
        <w:tc>
          <w:tcPr>
            <w:tcW w:w="3290" w:type="dxa"/>
            <w:noWrap w:val="0"/>
            <w:vAlign w:val="center"/>
          </w:tcPr>
          <w:p w14:paraId="163984F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2人</w:t>
            </w:r>
          </w:p>
        </w:tc>
        <w:tc>
          <w:tcPr>
            <w:tcW w:w="996" w:type="dxa"/>
            <w:vMerge w:val="continue"/>
            <w:noWrap w:val="0"/>
            <w:vAlign w:val="center"/>
          </w:tcPr>
          <w:p w14:paraId="5B310A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1308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5" w:type="dxa"/>
            <w:noWrap w:val="0"/>
            <w:vAlign w:val="center"/>
          </w:tcPr>
          <w:p w14:paraId="785924F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劳务分包资质序列企业</w:t>
            </w:r>
          </w:p>
        </w:tc>
        <w:tc>
          <w:tcPr>
            <w:tcW w:w="1499" w:type="dxa"/>
            <w:noWrap w:val="0"/>
            <w:vAlign w:val="center"/>
          </w:tcPr>
          <w:p w14:paraId="136175C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不分等级</w:t>
            </w:r>
          </w:p>
        </w:tc>
        <w:tc>
          <w:tcPr>
            <w:tcW w:w="1397" w:type="dxa"/>
            <w:vMerge w:val="continue"/>
            <w:noWrap w:val="0"/>
            <w:vAlign w:val="center"/>
          </w:tcPr>
          <w:p w14:paraId="358B173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3290" w:type="dxa"/>
            <w:noWrap w:val="0"/>
            <w:vAlign w:val="center"/>
          </w:tcPr>
          <w:p w14:paraId="55D2BE0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不少于</w:t>
            </w:r>
            <w:r>
              <w:rPr>
                <w:rFonts w:hint="eastAsia" w:ascii="仿宋_GB2312" w:hAnsi="仿宋_GB2312" w:eastAsia="仿宋_GB2312" w:cs="仿宋_GB2312"/>
                <w:sz w:val="18"/>
                <w:szCs w:val="18"/>
                <w:vertAlign w:val="baseline"/>
                <w:lang w:val="en-US" w:eastAsia="zh-CN"/>
              </w:rPr>
              <w:t>2人</w:t>
            </w:r>
          </w:p>
        </w:tc>
        <w:tc>
          <w:tcPr>
            <w:tcW w:w="996" w:type="dxa"/>
            <w:vMerge w:val="continue"/>
            <w:noWrap w:val="0"/>
            <w:vAlign w:val="center"/>
          </w:tcPr>
          <w:p w14:paraId="2C943E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r w14:paraId="4812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5" w:type="dxa"/>
            <w:noWrap w:val="0"/>
            <w:vAlign w:val="center"/>
          </w:tcPr>
          <w:p w14:paraId="1531560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涉及建筑起重机械的企业</w:t>
            </w:r>
          </w:p>
        </w:tc>
        <w:tc>
          <w:tcPr>
            <w:tcW w:w="1499" w:type="dxa"/>
            <w:noWrap w:val="0"/>
            <w:vAlign w:val="center"/>
          </w:tcPr>
          <w:p w14:paraId="0DE1A49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所有等级</w:t>
            </w:r>
          </w:p>
        </w:tc>
        <w:tc>
          <w:tcPr>
            <w:tcW w:w="1397" w:type="dxa"/>
            <w:vMerge w:val="continue"/>
            <w:noWrap w:val="0"/>
            <w:vAlign w:val="center"/>
          </w:tcPr>
          <w:p w14:paraId="4674046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vertAlign w:val="baseline"/>
              </w:rPr>
            </w:pPr>
          </w:p>
        </w:tc>
        <w:tc>
          <w:tcPr>
            <w:tcW w:w="3290" w:type="dxa"/>
            <w:noWrap w:val="0"/>
            <w:vAlign w:val="center"/>
          </w:tcPr>
          <w:p w14:paraId="03CFE36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在上述对应资质标准基础上，至少增加</w:t>
            </w:r>
            <w:r>
              <w:rPr>
                <w:rFonts w:hint="eastAsia" w:ascii="仿宋_GB2312" w:hAnsi="仿宋_GB2312" w:eastAsia="仿宋_GB2312" w:cs="仿宋_GB2312"/>
                <w:sz w:val="18"/>
                <w:szCs w:val="18"/>
                <w:vertAlign w:val="baseline"/>
                <w:lang w:val="en-US" w:eastAsia="zh-CN"/>
              </w:rPr>
              <w:t>1名机械类专职安全生产管理人员（C1）</w:t>
            </w:r>
          </w:p>
        </w:tc>
        <w:tc>
          <w:tcPr>
            <w:tcW w:w="996" w:type="dxa"/>
            <w:vMerge w:val="continue"/>
            <w:noWrap w:val="0"/>
            <w:vAlign w:val="center"/>
          </w:tcPr>
          <w:p w14:paraId="30B1B6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15"/>
                <w:szCs w:val="15"/>
                <w:vertAlign w:val="baseline"/>
              </w:rPr>
            </w:pPr>
          </w:p>
        </w:tc>
      </w:tr>
    </w:tbl>
    <w:p w14:paraId="4FABC4D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企业应保障安全生产管理人员</w:t>
      </w:r>
      <w:r>
        <w:rPr>
          <w:rFonts w:hint="eastAsia" w:ascii="仿宋_GB2312" w:hAnsi="仿宋_GB2312" w:eastAsia="仿宋_GB2312" w:cs="仿宋_GB2312"/>
          <w:sz w:val="32"/>
          <w:szCs w:val="32"/>
          <w:lang w:eastAsia="zh-CN"/>
        </w:rPr>
        <w:t>履职所需条件，落实并改善其</w:t>
      </w:r>
      <w:r>
        <w:rPr>
          <w:rFonts w:hint="eastAsia" w:ascii="仿宋_GB2312" w:hAnsi="仿宋_GB2312" w:eastAsia="仿宋_GB2312" w:cs="仿宋_GB2312"/>
          <w:sz w:val="32"/>
          <w:szCs w:val="32"/>
        </w:rPr>
        <w:t>薪酬待遇</w:t>
      </w:r>
      <w:r>
        <w:rPr>
          <w:rFonts w:hint="eastAsia" w:ascii="仿宋_GB2312" w:hAnsi="仿宋_GB2312" w:eastAsia="仿宋_GB2312" w:cs="仿宋_GB2312"/>
          <w:sz w:val="32"/>
          <w:szCs w:val="32"/>
          <w:lang w:eastAsia="zh-CN"/>
        </w:rPr>
        <w:t>。安全生产管理人员的工资水平不应低于本单位</w:t>
      </w:r>
      <w:r>
        <w:rPr>
          <w:rFonts w:hint="eastAsia" w:ascii="仿宋_GB2312" w:hAnsi="仿宋_GB2312" w:eastAsia="仿宋_GB2312" w:cs="仿宋_GB2312"/>
          <w:sz w:val="32"/>
          <w:szCs w:val="32"/>
        </w:rPr>
        <w:t>同</w:t>
      </w:r>
      <w:r>
        <w:rPr>
          <w:rFonts w:hint="eastAsia" w:ascii="仿宋_GB2312" w:hAnsi="仿宋_GB2312" w:eastAsia="仿宋_GB2312" w:cs="仿宋_GB2312"/>
          <w:sz w:val="32"/>
          <w:szCs w:val="32"/>
          <w:lang w:eastAsia="zh-CN"/>
        </w:rPr>
        <w:t>职</w:t>
      </w:r>
      <w:r>
        <w:rPr>
          <w:rFonts w:hint="eastAsia" w:ascii="仿宋_GB2312" w:hAnsi="仿宋_GB2312" w:eastAsia="仿宋_GB2312" w:cs="仿宋_GB2312"/>
          <w:sz w:val="32"/>
          <w:szCs w:val="32"/>
        </w:rPr>
        <w:t>级其他专业</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管理人员</w:t>
      </w:r>
      <w:r>
        <w:rPr>
          <w:rFonts w:hint="eastAsia" w:ascii="仿宋_GB2312" w:hAnsi="仿宋_GB2312" w:eastAsia="仿宋_GB2312" w:cs="仿宋_GB2312"/>
          <w:sz w:val="32"/>
          <w:szCs w:val="32"/>
          <w:lang w:eastAsia="zh-CN"/>
        </w:rPr>
        <w:t>，并按规定落实各项社会保险。鼓励企业建立安全生产管理岗位专项津贴制度，对安全总监及专职安全生产管理人员给予其职责、风险相匹配的待遇。</w:t>
      </w:r>
    </w:p>
    <w:p w14:paraId="057FF87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项目机构设置和人员配备</w:t>
      </w:r>
    </w:p>
    <w:p w14:paraId="5A1F83B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项目经理是项目安全生产第一责任人，必须严格履行《办法》第二十条规定的各项职责，落实带班生产制度。</w:t>
      </w:r>
    </w:p>
    <w:p w14:paraId="037F780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符合《办法》第二十一条规定规模的项目，必须配备项目安全总监，并设置独立的项目安全生产管理机构。鼓励其他项目根据施工难度、风险等级等因素参照执行。</w:t>
      </w:r>
    </w:p>
    <w:p w14:paraId="7DAE490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项目安全总监的任职资格应符合《办法》第二十二条规定，并协助项目经理全面履行项目安全生产管理职责（《办法》第二十三条）。</w:t>
      </w:r>
    </w:p>
    <w:p w14:paraId="7F238E4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施工总承包单位</w:t>
      </w:r>
      <w:r>
        <w:rPr>
          <w:rFonts w:hint="eastAsia" w:ascii="仿宋_GB2312" w:hAnsi="仿宋_GB2312" w:eastAsia="仿宋_GB2312" w:cs="仿宋_GB2312"/>
          <w:sz w:val="32"/>
          <w:szCs w:val="32"/>
          <w:lang w:eastAsia="zh-CN"/>
        </w:rPr>
        <w:t>对项目安全生产管理人员的配备负总责。项目现场专职安全生产管理人员的配备人数不得低于下表标准。配备时，应首先满足《办法》</w:t>
      </w:r>
      <w:r>
        <w:rPr>
          <w:rFonts w:hint="eastAsia" w:ascii="仿宋_GB2312" w:hAnsi="仿宋_GB2312" w:eastAsia="仿宋_GB2312" w:cs="仿宋_GB2312"/>
          <w:sz w:val="32"/>
          <w:szCs w:val="32"/>
        </w:rPr>
        <w:t>第二十六条</w:t>
      </w:r>
      <w:r>
        <w:rPr>
          <w:rFonts w:hint="eastAsia" w:ascii="仿宋_GB2312" w:hAnsi="仿宋_GB2312" w:eastAsia="仿宋_GB2312" w:cs="仿宋_GB2312"/>
          <w:sz w:val="32"/>
          <w:szCs w:val="32"/>
          <w:lang w:eastAsia="zh-CN"/>
        </w:rPr>
        <w:t>对施工总承包单位派驻人员的要求；同时施工总承包单位应在分包合同中明确分包单位的配备要求，确保各分包单位派驻人员数量符合《办法》第</w:t>
      </w:r>
      <w:r>
        <w:rPr>
          <w:rFonts w:hint="eastAsia" w:ascii="仿宋_GB2312" w:hAnsi="仿宋_GB2312" w:eastAsia="仿宋_GB2312" w:cs="仿宋_GB2312"/>
          <w:sz w:val="32"/>
          <w:szCs w:val="32"/>
        </w:rPr>
        <w:t>二十七条</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eastAsia="zh-CN"/>
        </w:rPr>
        <w:t>与施工总承包单位派驻人员共同满足下表规定的项目总计最低项目安全生产管理人员</w:t>
      </w:r>
      <w:r>
        <w:rPr>
          <w:rFonts w:hint="eastAsia" w:ascii="仿宋_GB2312" w:hAnsi="仿宋_GB2312" w:eastAsia="仿宋_GB2312" w:cs="仿宋_GB2312"/>
          <w:sz w:val="32"/>
          <w:szCs w:val="32"/>
        </w:rPr>
        <w:t>配备标准：</w:t>
      </w:r>
    </w:p>
    <w:p w14:paraId="29024EED">
      <w:pPr>
        <w:pStyle w:val="2"/>
        <w:rPr>
          <w:rFonts w:hint="eastAsia"/>
        </w:rPr>
      </w:pPr>
    </w:p>
    <w:p w14:paraId="133B0A9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房屋市政工程项目安全生产管理人员最低配备标准表</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15"/>
        <w:gridCol w:w="2325"/>
        <w:gridCol w:w="1061"/>
        <w:gridCol w:w="1845"/>
        <w:gridCol w:w="2420"/>
      </w:tblGrid>
      <w:tr w14:paraId="5BE0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815" w:type="dxa"/>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3B7AE6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工程类别</w:t>
            </w: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D0686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规模指标</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53FF69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配备安全总监要求</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605164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专职安全生产管理人员最低配备人数</w:t>
            </w:r>
          </w:p>
        </w:tc>
        <w:tc>
          <w:tcPr>
            <w:tcW w:w="2420"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41980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15"/>
                <w:szCs w:val="15"/>
              </w:rPr>
            </w:pPr>
            <w:r>
              <w:rPr>
                <w:rFonts w:hint="eastAsia" w:ascii="黑体" w:hAnsi="黑体" w:eastAsia="黑体" w:cs="黑体"/>
                <w:kern w:val="0"/>
                <w:sz w:val="15"/>
                <w:szCs w:val="15"/>
                <w:lang w:val="en-US" w:eastAsia="zh-CN" w:bidi="ar"/>
              </w:rPr>
              <w:t>备注</w:t>
            </w:r>
          </w:p>
        </w:tc>
      </w:tr>
      <w:tr w14:paraId="0878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restart"/>
            <w:tcBorders>
              <w:top w:val="single" w:color="auto" w:sz="4" w:space="0"/>
              <w:left w:val="single" w:color="auto" w:sz="4" w:space="0"/>
              <w:right w:val="single" w:color="auto" w:sz="4" w:space="0"/>
            </w:tcBorders>
            <w:noWrap w:val="0"/>
            <w:tcMar>
              <w:top w:w="100" w:type="dxa"/>
              <w:left w:w="0" w:type="dxa"/>
              <w:bottom w:w="100" w:type="dxa"/>
              <w:right w:w="160" w:type="dxa"/>
            </w:tcMar>
            <w:vAlign w:val="center"/>
          </w:tcPr>
          <w:p w14:paraId="3CE098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11"/>
                <w:rFonts w:hint="eastAsia" w:ascii="仿宋_GB2312" w:hAnsi="仿宋_GB2312" w:eastAsia="仿宋_GB2312" w:cs="仿宋_GB2312"/>
                <w:b w:val="0"/>
                <w:bCs w:val="0"/>
                <w:kern w:val="0"/>
                <w:sz w:val="18"/>
                <w:szCs w:val="18"/>
                <w:lang w:val="en-US" w:eastAsia="zh-CN" w:bidi="ar"/>
              </w:rPr>
              <w:t>房屋建筑工程</w:t>
            </w: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CC759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建筑面积</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1万㎡</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A5FFB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37C4F6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1人</w:t>
            </w:r>
          </w:p>
        </w:tc>
        <w:tc>
          <w:tcPr>
            <w:tcW w:w="2420" w:type="dxa"/>
            <w:vMerge w:val="restart"/>
            <w:tcBorders>
              <w:top w:val="single" w:color="auto" w:sz="4" w:space="0"/>
              <w:left w:val="single" w:color="auto" w:sz="4" w:space="0"/>
              <w:right w:val="single" w:color="auto" w:sz="4" w:space="0"/>
            </w:tcBorders>
            <w:noWrap w:val="0"/>
            <w:tcMar>
              <w:top w:w="100" w:type="dxa"/>
              <w:left w:w="160" w:type="dxa"/>
              <w:bottom w:w="100" w:type="dxa"/>
              <w:right w:w="0" w:type="dxa"/>
            </w:tcMar>
            <w:vAlign w:val="center"/>
          </w:tcPr>
          <w:p w14:paraId="7780FEC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1.建筑面积超过5万㎡的，每增加5万㎡至少增配1人。</w:t>
            </w:r>
            <w:r>
              <w:rPr>
                <w:rFonts w:hint="eastAsia" w:ascii="仿宋_GB2312" w:hAnsi="仿宋_GB2312" w:eastAsia="仿宋_GB2312" w:cs="仿宋_GB2312"/>
                <w:kern w:val="0"/>
                <w:sz w:val="18"/>
                <w:szCs w:val="18"/>
                <w:lang w:val="en-US" w:eastAsia="zh-CN" w:bidi="ar"/>
              </w:rPr>
              <w:br w:type="textWrapping"/>
            </w:r>
            <w:r>
              <w:rPr>
                <w:rFonts w:hint="eastAsia" w:ascii="仿宋_GB2312" w:hAnsi="仿宋_GB2312" w:eastAsia="仿宋_GB2312" w:cs="仿宋_GB2312"/>
                <w:kern w:val="0"/>
                <w:sz w:val="18"/>
                <w:szCs w:val="18"/>
                <w:lang w:val="en-US" w:eastAsia="zh-CN" w:bidi="ar"/>
              </w:rPr>
              <w:t>2.涉及建筑起重机械的，须至少增配1名机械类（C1）专职安全员。</w:t>
            </w:r>
          </w:p>
        </w:tc>
      </w:tr>
      <w:tr w14:paraId="4E67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left w:val="single" w:color="auto" w:sz="4" w:space="0"/>
              <w:right w:val="single" w:color="auto" w:sz="4" w:space="0"/>
            </w:tcBorders>
            <w:noWrap w:val="0"/>
            <w:tcMar>
              <w:top w:w="100" w:type="dxa"/>
              <w:left w:w="0" w:type="dxa"/>
              <w:bottom w:w="100" w:type="dxa"/>
              <w:right w:w="160" w:type="dxa"/>
            </w:tcMar>
            <w:vAlign w:val="center"/>
          </w:tcPr>
          <w:p w14:paraId="65FE71D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E053E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1万㎡&lt;建筑面积</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5万㎡</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574D02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1726E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2人</w:t>
            </w:r>
          </w:p>
        </w:tc>
        <w:tc>
          <w:tcPr>
            <w:tcW w:w="2420" w:type="dxa"/>
            <w:vMerge w:val="continue"/>
            <w:tcBorders>
              <w:left w:val="single" w:color="auto" w:sz="4" w:space="0"/>
              <w:right w:val="single" w:color="auto" w:sz="4" w:space="0"/>
            </w:tcBorders>
            <w:noWrap w:val="0"/>
            <w:tcMar>
              <w:top w:w="100" w:type="dxa"/>
              <w:left w:w="160" w:type="dxa"/>
              <w:bottom w:w="100" w:type="dxa"/>
              <w:right w:w="0" w:type="dxa"/>
            </w:tcMar>
            <w:vAlign w:val="center"/>
          </w:tcPr>
          <w:p w14:paraId="5F238F8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p>
        </w:tc>
      </w:tr>
      <w:tr w14:paraId="6752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left w:val="single" w:color="auto" w:sz="4" w:space="0"/>
              <w:right w:val="single" w:color="auto" w:sz="4" w:space="0"/>
            </w:tcBorders>
            <w:noWrap w:val="0"/>
            <w:tcMar>
              <w:top w:w="100" w:type="dxa"/>
              <w:left w:w="0" w:type="dxa"/>
              <w:bottom w:w="100" w:type="dxa"/>
              <w:right w:w="160" w:type="dxa"/>
            </w:tcMar>
            <w:vAlign w:val="center"/>
          </w:tcPr>
          <w:p w14:paraId="72B4084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3F7AB9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5万㎡&lt;建筑面积</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10万</w:t>
            </w:r>
            <w:r>
              <w:rPr>
                <w:rFonts w:hint="eastAsia" w:ascii="方正仿宋_GBK" w:hAnsi="方正仿宋_GBK" w:eastAsia="方正仿宋_GBK" w:cs="方正仿宋_GBK"/>
                <w:kern w:val="0"/>
                <w:sz w:val="18"/>
                <w:szCs w:val="18"/>
                <w:lang w:val="en-US" w:eastAsia="zh-CN" w:bidi="ar"/>
              </w:rPr>
              <w:t>㎡</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E0641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11"/>
                <w:rFonts w:hint="eastAsia" w:ascii="仿宋_GB2312" w:hAnsi="仿宋_GB2312" w:eastAsia="仿宋_GB2312" w:cs="仿宋_GB2312"/>
                <w:b/>
                <w:bCs/>
                <w:kern w:val="0"/>
                <w:sz w:val="18"/>
                <w:szCs w:val="18"/>
                <w:lang w:val="en-US" w:eastAsia="zh-CN" w:bidi="ar"/>
              </w:rPr>
              <w:t>必须配备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7438F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3人</w:t>
            </w:r>
          </w:p>
        </w:tc>
        <w:tc>
          <w:tcPr>
            <w:tcW w:w="2420" w:type="dxa"/>
            <w:vMerge w:val="continue"/>
            <w:tcBorders>
              <w:left w:val="single" w:color="auto" w:sz="4" w:space="0"/>
              <w:right w:val="single" w:color="auto" w:sz="4" w:space="0"/>
            </w:tcBorders>
            <w:noWrap w:val="0"/>
            <w:tcMar>
              <w:top w:w="100" w:type="dxa"/>
              <w:left w:w="160" w:type="dxa"/>
              <w:bottom w:w="100" w:type="dxa"/>
              <w:right w:w="0" w:type="dxa"/>
            </w:tcMar>
            <w:vAlign w:val="center"/>
          </w:tcPr>
          <w:p w14:paraId="6C73C5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p>
        </w:tc>
      </w:tr>
      <w:tr w14:paraId="4315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6413ACB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56EB10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建筑面积&gt;10万</w:t>
            </w:r>
            <w:r>
              <w:rPr>
                <w:rFonts w:hint="eastAsia" w:ascii="方正仿宋_GBK" w:hAnsi="方正仿宋_GBK" w:eastAsia="方正仿宋_GBK" w:cs="方正仿宋_GBK"/>
                <w:kern w:val="0"/>
                <w:sz w:val="18"/>
                <w:szCs w:val="18"/>
                <w:lang w:val="en-US" w:eastAsia="zh-CN" w:bidi="ar"/>
              </w:rPr>
              <w:t>㎡</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52EE55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Style w:val="11"/>
                <w:rFonts w:hint="eastAsia" w:ascii="仿宋_GB2312" w:hAnsi="仿宋_GB2312" w:eastAsia="仿宋_GB2312" w:cs="仿宋_GB2312"/>
                <w:b/>
                <w:bCs/>
                <w:kern w:val="0"/>
                <w:sz w:val="18"/>
                <w:szCs w:val="18"/>
                <w:lang w:val="en-US" w:eastAsia="zh-CN" w:bidi="ar"/>
              </w:rPr>
              <w:t>必须配备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6348E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Arial" w:hAnsi="Arial" w:eastAsia="仿宋_GB2312" w:cs="Arial"/>
                <w:kern w:val="0"/>
                <w:sz w:val="18"/>
                <w:szCs w:val="18"/>
                <w:lang w:val="en-US" w:eastAsia="zh-CN" w:bidi="ar"/>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4人,面积每增加1万</w:t>
            </w:r>
            <w:r>
              <w:rPr>
                <w:rFonts w:hint="eastAsia" w:ascii="方正仿宋_GBK" w:hAnsi="方正仿宋_GBK" w:eastAsia="方正仿宋_GBK" w:cs="方正仿宋_GBK"/>
                <w:kern w:val="0"/>
                <w:sz w:val="18"/>
                <w:szCs w:val="18"/>
                <w:lang w:val="en-US" w:eastAsia="zh-CN" w:bidi="ar"/>
              </w:rPr>
              <w:t>㎡</w:t>
            </w:r>
            <w:r>
              <w:rPr>
                <w:rFonts w:hint="eastAsia" w:ascii="仿宋_GB2312" w:hAnsi="仿宋_GB2312" w:eastAsia="仿宋_GB2312" w:cs="仿宋_GB2312"/>
                <w:kern w:val="0"/>
                <w:sz w:val="18"/>
                <w:szCs w:val="18"/>
                <w:lang w:val="en-US" w:eastAsia="zh-CN" w:bidi="ar"/>
              </w:rPr>
              <w:t>，增配1人</w:t>
            </w:r>
          </w:p>
        </w:tc>
        <w:tc>
          <w:tcPr>
            <w:tcW w:w="2420" w:type="dxa"/>
            <w:vMerge w:val="continue"/>
            <w:tcBorders>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198EF6E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p>
        </w:tc>
      </w:tr>
      <w:tr w14:paraId="162D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restart"/>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0B9C1E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11"/>
                <w:rFonts w:hint="eastAsia" w:ascii="仿宋_GB2312" w:hAnsi="仿宋_GB2312" w:eastAsia="仿宋_GB2312" w:cs="仿宋_GB2312"/>
                <w:b w:val="0"/>
                <w:bCs w:val="0"/>
                <w:kern w:val="0"/>
                <w:sz w:val="18"/>
                <w:szCs w:val="18"/>
                <w:lang w:val="en-US" w:eastAsia="zh-CN" w:bidi="ar"/>
              </w:rPr>
              <w:t>市政基础设施工程</w:t>
            </w: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20FD88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合同价</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5000万元</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6FA9CD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47A54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1人</w:t>
            </w:r>
          </w:p>
        </w:tc>
        <w:tc>
          <w:tcPr>
            <w:tcW w:w="2420" w:type="dxa"/>
            <w:vMerge w:val="restart"/>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4015F5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1.合同价超过2亿元部分，每增加2亿元至少增配1人。</w:t>
            </w:r>
            <w:r>
              <w:rPr>
                <w:rFonts w:hint="eastAsia" w:ascii="仿宋_GB2312" w:hAnsi="仿宋_GB2312" w:eastAsia="仿宋_GB2312" w:cs="仿宋_GB2312"/>
                <w:kern w:val="0"/>
                <w:sz w:val="18"/>
                <w:szCs w:val="18"/>
                <w:lang w:val="en-US" w:eastAsia="zh-CN" w:bidi="ar"/>
              </w:rPr>
              <w:br w:type="textWrapping"/>
            </w:r>
            <w:r>
              <w:rPr>
                <w:rFonts w:hint="eastAsia" w:ascii="仿宋_GB2312" w:hAnsi="仿宋_GB2312" w:eastAsia="仿宋_GB2312" w:cs="仿宋_GB2312"/>
                <w:kern w:val="0"/>
                <w:sz w:val="18"/>
                <w:szCs w:val="18"/>
                <w:lang w:val="en-US" w:eastAsia="zh-CN" w:bidi="ar"/>
              </w:rPr>
              <w:t>2.涉及建筑起重机械的，须至少增配1名机械类（C1）专职安全员。</w:t>
            </w:r>
          </w:p>
        </w:tc>
      </w:tr>
      <w:tr w14:paraId="56D7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2DC9E85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489CF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5000万元&lt;合同价</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2亿元</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DDB3C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2ECD2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2人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3241A2E3">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rPr>
            </w:pPr>
          </w:p>
        </w:tc>
      </w:tr>
      <w:tr w14:paraId="125F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73295E2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329EB6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2亿元&lt;合同价</w:t>
            </w: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4亿元</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28AE0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鼓励配备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4B7C5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Arial" w:hAnsi="Arial" w:eastAsia="仿宋_GB2312" w:cs="Arial"/>
                <w:kern w:val="0"/>
                <w:sz w:val="18"/>
                <w:szCs w:val="18"/>
                <w:lang w:val="en-US" w:eastAsia="zh-CN" w:bidi="ar"/>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3人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3C0DA185">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rPr>
            </w:pPr>
          </w:p>
        </w:tc>
      </w:tr>
      <w:tr w14:paraId="3219B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4ECBCF2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2CFE86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合同价&gt;4亿元</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7F62FE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Style w:val="11"/>
                <w:rFonts w:hint="eastAsia" w:ascii="仿宋_GB2312" w:hAnsi="仿宋_GB2312" w:eastAsia="仿宋_GB2312" w:cs="仿宋_GB2312"/>
                <w:b/>
                <w:bCs/>
                <w:kern w:val="0"/>
                <w:sz w:val="18"/>
                <w:szCs w:val="18"/>
                <w:lang w:val="en-US" w:eastAsia="zh-CN" w:bidi="ar"/>
              </w:rPr>
              <w:t>必须配备</w:t>
            </w:r>
          </w:p>
        </w:tc>
        <w:tc>
          <w:tcPr>
            <w:tcW w:w="184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3465BD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Arial" w:hAnsi="Arial" w:eastAsia="仿宋_GB2312" w:cs="Arial"/>
                <w:kern w:val="0"/>
                <w:sz w:val="18"/>
                <w:szCs w:val="18"/>
                <w:lang w:val="en-US" w:eastAsia="zh-CN" w:bidi="ar"/>
              </w:rPr>
            </w:pPr>
            <w:r>
              <w:rPr>
                <w:rFonts w:hint="default" w:ascii="Arial" w:hAnsi="Arial" w:eastAsia="仿宋_GB2312" w:cs="Arial"/>
                <w:kern w:val="0"/>
                <w:sz w:val="18"/>
                <w:szCs w:val="18"/>
                <w:lang w:val="en-US" w:eastAsia="zh-CN" w:bidi="ar"/>
              </w:rPr>
              <w:t>≥</w:t>
            </w:r>
            <w:r>
              <w:rPr>
                <w:rFonts w:hint="eastAsia" w:ascii="仿宋_GB2312" w:hAnsi="仿宋_GB2312" w:eastAsia="仿宋_GB2312" w:cs="仿宋_GB2312"/>
                <w:kern w:val="0"/>
                <w:sz w:val="18"/>
                <w:szCs w:val="18"/>
                <w:lang w:val="en-US" w:eastAsia="zh-CN" w:bidi="ar"/>
              </w:rPr>
              <w:t>3人,合同价每增加5000万元，增配1人</w:t>
            </w: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5409F580">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rPr>
            </w:pPr>
          </w:p>
        </w:tc>
      </w:tr>
      <w:tr w14:paraId="16CE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restart"/>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688496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Style w:val="11"/>
                <w:rFonts w:hint="eastAsia" w:ascii="仿宋_GB2312" w:hAnsi="仿宋_GB2312" w:eastAsia="仿宋_GB2312" w:cs="仿宋_GB2312"/>
                <w:b w:val="0"/>
                <w:bCs w:val="0"/>
                <w:kern w:val="0"/>
                <w:sz w:val="18"/>
                <w:szCs w:val="18"/>
                <w:lang w:val="en-US" w:eastAsia="zh-CN" w:bidi="ar"/>
              </w:rPr>
            </w:pPr>
            <w:r>
              <w:rPr>
                <w:rStyle w:val="11"/>
                <w:rFonts w:hint="eastAsia" w:ascii="仿宋_GB2312" w:hAnsi="仿宋_GB2312" w:eastAsia="仿宋_GB2312" w:cs="仿宋_GB2312"/>
                <w:b w:val="0"/>
                <w:bCs w:val="0"/>
                <w:kern w:val="0"/>
                <w:sz w:val="18"/>
                <w:szCs w:val="18"/>
                <w:lang w:val="en-US" w:eastAsia="zh-CN" w:bidi="ar"/>
              </w:rPr>
              <w:t>特殊</w:t>
            </w:r>
          </w:p>
          <w:p w14:paraId="019F2E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11"/>
                <w:rFonts w:hint="eastAsia" w:ascii="仿宋_GB2312" w:hAnsi="仿宋_GB2312" w:eastAsia="仿宋_GB2312" w:cs="仿宋_GB2312"/>
                <w:b w:val="0"/>
                <w:bCs w:val="0"/>
                <w:kern w:val="0"/>
                <w:sz w:val="18"/>
                <w:szCs w:val="18"/>
                <w:lang w:val="en-US" w:eastAsia="zh-CN" w:bidi="ar"/>
              </w:rPr>
              <w:t>工程</w:t>
            </w: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03389A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隧道、城市轨道交通工程累积长度&gt;4千米</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627B3E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Style w:val="11"/>
                <w:rFonts w:hint="eastAsia" w:ascii="仿宋_GB2312" w:hAnsi="仿宋_GB2312" w:eastAsia="仿宋_GB2312" w:cs="仿宋_GB2312"/>
                <w:b/>
                <w:bCs/>
                <w:kern w:val="0"/>
                <w:sz w:val="18"/>
                <w:szCs w:val="18"/>
                <w:lang w:val="en-US" w:eastAsia="zh-CN" w:bidi="ar"/>
              </w:rPr>
              <w:t>必须配备</w:t>
            </w:r>
          </w:p>
        </w:tc>
        <w:tc>
          <w:tcPr>
            <w:tcW w:w="1845" w:type="dxa"/>
            <w:vMerge w:val="restart"/>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1D2929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val="0"/>
                <w:bCs w:val="0"/>
                <w:kern w:val="0"/>
                <w:sz w:val="18"/>
                <w:szCs w:val="18"/>
                <w:lang w:val="en-US" w:eastAsia="zh-CN" w:bidi="ar"/>
              </w:rPr>
              <w:t>在对应类别标准基础上</w:t>
            </w:r>
            <w:r>
              <w:rPr>
                <w:rStyle w:val="11"/>
                <w:rFonts w:hint="eastAsia" w:ascii="仿宋_GB2312" w:hAnsi="仿宋_GB2312" w:eastAsia="仿宋_GB2312" w:cs="仿宋_GB2312"/>
                <w:b w:val="0"/>
                <w:bCs w:val="0"/>
                <w:kern w:val="0"/>
                <w:sz w:val="18"/>
                <w:szCs w:val="18"/>
                <w:lang w:val="en-US" w:eastAsia="zh-CN" w:bidi="ar"/>
              </w:rPr>
              <w:t>至少增加1人</w:t>
            </w:r>
          </w:p>
        </w:tc>
        <w:tc>
          <w:tcPr>
            <w:tcW w:w="2420" w:type="dxa"/>
            <w:vMerge w:val="restart"/>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5BF444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val="en-US" w:eastAsia="zh-CN" w:bidi="ar"/>
              </w:rPr>
              <w:t>企业应根据实际施工组织难度和危险源数量评估后增加配备。</w:t>
            </w:r>
          </w:p>
        </w:tc>
      </w:tr>
      <w:tr w14:paraId="691B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815" w:type="dxa"/>
            <w:vMerge w:val="continue"/>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5CC4FC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Style w:val="11"/>
                <w:rFonts w:hint="eastAsia" w:ascii="仿宋_GB2312" w:hAnsi="仿宋_GB2312" w:eastAsia="仿宋_GB2312" w:cs="仿宋_GB2312"/>
                <w:b/>
                <w:bCs/>
                <w:kern w:val="0"/>
                <w:sz w:val="18"/>
                <w:szCs w:val="18"/>
                <w:lang w:val="en-US" w:eastAsia="zh-CN" w:bidi="ar"/>
              </w:rPr>
            </w:pPr>
          </w:p>
        </w:tc>
        <w:tc>
          <w:tcPr>
            <w:tcW w:w="2325"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5B03E8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其他特殊工程（如超高</w:t>
            </w:r>
            <w:r>
              <w:rPr>
                <w:rFonts w:hint="eastAsia" w:ascii="宋体" w:hAnsi="宋体" w:eastAsia="宋体" w:cs="宋体"/>
                <w:kern w:val="0"/>
                <w:sz w:val="18"/>
                <w:szCs w:val="18"/>
                <w:lang w:val="en-US" w:eastAsia="zh-CN" w:bidi="ar"/>
              </w:rPr>
              <w:t>/</w:t>
            </w:r>
            <w:r>
              <w:rPr>
                <w:rFonts w:hint="eastAsia" w:ascii="仿宋_GB2312" w:hAnsi="仿宋_GB2312" w:eastAsia="仿宋_GB2312" w:cs="仿宋_GB2312"/>
                <w:kern w:val="0"/>
                <w:sz w:val="18"/>
                <w:szCs w:val="18"/>
                <w:lang w:val="en-US" w:eastAsia="zh-CN" w:bidi="ar"/>
              </w:rPr>
              <w:t>超限结构、采用“四新”技术等）</w:t>
            </w:r>
          </w:p>
        </w:tc>
        <w:tc>
          <w:tcPr>
            <w:tcW w:w="1061" w:type="dxa"/>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A26E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Style w:val="11"/>
                <w:rFonts w:hint="eastAsia" w:ascii="仿宋_GB2312" w:hAnsi="仿宋_GB2312" w:eastAsia="仿宋_GB2312" w:cs="仿宋_GB2312"/>
                <w:b/>
                <w:bCs/>
                <w:kern w:val="0"/>
                <w:sz w:val="18"/>
                <w:szCs w:val="18"/>
                <w:lang w:val="en-US" w:eastAsia="zh-CN" w:bidi="ar"/>
              </w:rPr>
            </w:pPr>
            <w:r>
              <w:rPr>
                <w:rStyle w:val="11"/>
                <w:rFonts w:hint="eastAsia" w:ascii="仿宋_GB2312" w:hAnsi="仿宋_GB2312" w:eastAsia="仿宋_GB2312" w:cs="仿宋_GB2312"/>
                <w:b/>
                <w:bCs/>
                <w:kern w:val="0"/>
                <w:sz w:val="18"/>
                <w:szCs w:val="18"/>
                <w:lang w:val="en-US" w:eastAsia="zh-CN" w:bidi="ar"/>
              </w:rPr>
              <w:t>必须配备</w:t>
            </w:r>
          </w:p>
        </w:tc>
        <w:tc>
          <w:tcPr>
            <w:tcW w:w="1845"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160" w:type="dxa"/>
            </w:tcMar>
            <w:vAlign w:val="center"/>
          </w:tcPr>
          <w:p w14:paraId="484A51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18"/>
                <w:szCs w:val="18"/>
                <w:lang w:val="en-US" w:eastAsia="zh-CN" w:bidi="ar"/>
              </w:rPr>
            </w:pPr>
          </w:p>
        </w:tc>
        <w:tc>
          <w:tcPr>
            <w:tcW w:w="2420" w:type="dxa"/>
            <w:vMerge w:val="continue"/>
            <w:tcBorders>
              <w:top w:val="single" w:color="auto" w:sz="4" w:space="0"/>
              <w:left w:val="single" w:color="auto" w:sz="4" w:space="0"/>
              <w:bottom w:val="single" w:color="auto" w:sz="4" w:space="0"/>
              <w:right w:val="single" w:color="auto" w:sz="4" w:space="0"/>
            </w:tcBorders>
            <w:noWrap w:val="0"/>
            <w:tcMar>
              <w:top w:w="100" w:type="dxa"/>
              <w:left w:w="160" w:type="dxa"/>
              <w:bottom w:w="100" w:type="dxa"/>
              <w:right w:w="0" w:type="dxa"/>
            </w:tcMar>
            <w:vAlign w:val="center"/>
          </w:tcPr>
          <w:p w14:paraId="76A4B7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18"/>
                <w:szCs w:val="18"/>
                <w:lang w:val="en-US" w:eastAsia="zh-CN" w:bidi="ar"/>
              </w:rPr>
            </w:pPr>
          </w:p>
        </w:tc>
      </w:tr>
      <w:tr w14:paraId="11E3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466" w:type="dxa"/>
            <w:gridSpan w:val="5"/>
            <w:tcBorders>
              <w:top w:val="single" w:color="auto" w:sz="4" w:space="0"/>
              <w:left w:val="single" w:color="auto" w:sz="4" w:space="0"/>
              <w:bottom w:val="single" w:color="auto" w:sz="4" w:space="0"/>
              <w:right w:val="single" w:color="auto" w:sz="4" w:space="0"/>
            </w:tcBorders>
            <w:noWrap w:val="0"/>
            <w:tcMar>
              <w:top w:w="100" w:type="dxa"/>
              <w:left w:w="0" w:type="dxa"/>
              <w:bottom w:w="100" w:type="dxa"/>
              <w:right w:w="160" w:type="dxa"/>
            </w:tcMar>
            <w:vAlign w:val="center"/>
          </w:tcPr>
          <w:p w14:paraId="0FAB629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注：</w:t>
            </w:r>
            <w:r>
              <w:rPr>
                <w:rFonts w:hint="eastAsia" w:ascii="仿宋_GB2312" w:hAnsi="仿宋_GB2312" w:eastAsia="仿宋_GB2312" w:cs="仿宋_GB2312"/>
                <w:b/>
                <w:bCs/>
                <w:kern w:val="0"/>
                <w:sz w:val="18"/>
                <w:szCs w:val="18"/>
                <w:lang w:val="en-US" w:eastAsia="zh-CN" w:bidi="ar"/>
              </w:rPr>
              <w:t>1.所有项目，若施工现场管理人员和施工人员峰值超过500人的，必须配备安全总监。</w:t>
            </w:r>
          </w:p>
          <w:p w14:paraId="01AB036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 xml:space="preserve">    2.配备安全总监的，应同时设置独立的项目安全生产管理机构。</w:t>
            </w:r>
          </w:p>
          <w:p w14:paraId="5450A75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 xml:space="preserve">    3.鼓励企业根据安全风险、工期进度、项目重要性等因素，对未达到上述必须配备安全总监的项目，主动配备安全总监。</w:t>
            </w:r>
          </w:p>
        </w:tc>
      </w:tr>
    </w:tbl>
    <w:p w14:paraId="1831317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项目专职安全生产管理人员实行企业委派制，其人事关系、薪酬发放、考核奖惩由企业总部直接管理，接受企业安全生产管理机构的业务领导与监督，定期汇报项目安全状况。</w:t>
      </w:r>
    </w:p>
    <w:p w14:paraId="469F247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项目进行建筑起重机械安拆、使用等作业时，施工现场必须确保有专人固定负责该设备的专项安全管理。办理建筑起重机械使用登记时，应核查该项目是否配备至少1名持有机械类（C1）安全生产考核合格证书的专职安全生产管理人员，保障其对机械设备危险源识别、风险管控和隐患排查的专业性与专注性。</w:t>
      </w:r>
    </w:p>
    <w:p w14:paraId="3B90A56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14:paraId="3ABFD95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各级住房城乡建设主管部门在核发施工许可证、安全生产许可证及开展日常监督、安全标准化考评时，必须严格审查企业和项目安全生产管理机构设置、人员配备及持证上岗情况，对不符合要求的，依法责令整改或处罚。</w:t>
      </w:r>
    </w:p>
    <w:p w14:paraId="5F24521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强化平台应用，将项目安全生产管理行为纳入数字化监管。</w:t>
      </w:r>
    </w:p>
    <w:p w14:paraId="1A6F6A1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项目专职安全生产管理人员必须严格执行《办法》第三十三条、第三十四条关于佩戴安全生产检查记录仪、填写施工安全日志的规定。检查视频原始资料与安全日志必须每日同步上传至平台。</w:t>
      </w:r>
    </w:p>
    <w:p w14:paraId="450C0B7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平台对连续2天未上传检查视频和安全日志的项目进行自动提醒</w:t>
      </w:r>
      <w:r>
        <w:rPr>
          <w:rFonts w:hint="eastAsia" w:ascii="仿宋_GB2312" w:hAnsi="仿宋_GB2312" w:eastAsia="仿宋_GB2312" w:cs="仿宋_GB2312"/>
          <w:sz w:val="32"/>
          <w:szCs w:val="32"/>
          <w:lang w:eastAsia="zh-CN"/>
        </w:rPr>
        <w:t>，并记录在案</w:t>
      </w:r>
      <w:r>
        <w:rPr>
          <w:rFonts w:hint="eastAsia" w:ascii="仿宋_GB2312" w:hAnsi="仿宋_GB2312" w:eastAsia="仿宋_GB2312" w:cs="仿宋_GB2312"/>
          <w:sz w:val="32"/>
          <w:szCs w:val="32"/>
        </w:rPr>
        <w:t>；连续3天未上传的，系统</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自动预警，并将该预警信息推送至项目属地监督机构。被预警的项目，视为当日施工现场无专职安全员在岗履职。</w:t>
      </w:r>
    </w:p>
    <w:p w14:paraId="7B215A2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对因未落实检查记录仪、安全日志制度被预警的项目，其所属企业及涉及的专职安全生产管理人员，由属地住房城乡建设主管部门依据《西藏自治区建筑市场信用管理办法》</w:t>
      </w:r>
      <w:r>
        <w:rPr>
          <w:rFonts w:hint="eastAsia" w:ascii="仿宋_GB2312" w:hAnsi="仿宋_GB2312" w:eastAsia="仿宋_GB2312" w:cs="仿宋_GB2312"/>
          <w:sz w:val="32"/>
          <w:szCs w:val="32"/>
          <w:lang w:eastAsia="zh-CN"/>
        </w:rPr>
        <w:t>分别对企业和相关人员</w:t>
      </w:r>
      <w:r>
        <w:rPr>
          <w:rFonts w:hint="eastAsia" w:ascii="仿宋_GB2312" w:hAnsi="仿宋_GB2312" w:eastAsia="仿宋_GB2312" w:cs="仿宋_GB2312"/>
          <w:sz w:val="32"/>
          <w:szCs w:val="32"/>
        </w:rPr>
        <w:t>实施信用扣分。</w:t>
      </w:r>
    </w:p>
    <w:p w14:paraId="088CDAD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对检查中发现项目存在重大事故隐患拒不整改、安全生产管理人员长期脱岗、履职不力等情形的，应依法严肃查处。涉嫌构成《中华人民共和国刑法》第一百三十四条之二危险作业罪等犯罪的，依法移送司法机关追究刑事责任。</w:t>
      </w:r>
    </w:p>
    <w:p w14:paraId="74E5720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自治区建筑施工企业安全生产管理人员的安全生产考核合格证书实行分类管理。坚持原统一核发的综合类（</w:t>
      </w:r>
      <w:r>
        <w:rPr>
          <w:rFonts w:hint="eastAsia" w:ascii="仿宋_GB2312" w:hAnsi="仿宋_GB2312" w:eastAsia="仿宋_GB2312" w:cs="仿宋_GB2312"/>
          <w:sz w:val="32"/>
          <w:szCs w:val="32"/>
          <w:lang w:val="en-US" w:eastAsia="zh-CN"/>
        </w:rPr>
        <w:t>C3</w:t>
      </w:r>
      <w:r>
        <w:rPr>
          <w:rFonts w:hint="eastAsia" w:ascii="仿宋_GB2312" w:hAnsi="仿宋_GB2312" w:eastAsia="仿宋_GB2312" w:cs="仿宋_GB2312"/>
          <w:sz w:val="32"/>
          <w:szCs w:val="32"/>
          <w:lang w:eastAsia="zh-CN"/>
        </w:rPr>
        <w:t>）安全生产考核合格证书的人员，可按规定申请变更为机械类（</w:t>
      </w:r>
      <w:r>
        <w:rPr>
          <w:rFonts w:hint="eastAsia" w:ascii="仿宋_GB2312" w:hAnsi="仿宋_GB2312" w:eastAsia="仿宋_GB2312" w:cs="仿宋_GB2312"/>
          <w:sz w:val="32"/>
          <w:szCs w:val="32"/>
          <w:lang w:val="en-US" w:eastAsia="zh-CN"/>
        </w:rPr>
        <w:t>C1</w:t>
      </w:r>
      <w:r>
        <w:rPr>
          <w:rFonts w:hint="eastAsia" w:ascii="仿宋_GB2312" w:hAnsi="仿宋_GB2312" w:eastAsia="仿宋_GB2312" w:cs="仿宋_GB2312"/>
          <w:sz w:val="32"/>
          <w:szCs w:val="32"/>
          <w:lang w:eastAsia="zh-CN"/>
        </w:rPr>
        <w:t>）或土建类（</w:t>
      </w:r>
      <w:r>
        <w:rPr>
          <w:rFonts w:hint="eastAsia" w:ascii="仿宋_GB2312" w:hAnsi="仿宋_GB2312" w:eastAsia="仿宋_GB2312" w:cs="仿宋_GB2312"/>
          <w:sz w:val="32"/>
          <w:szCs w:val="32"/>
          <w:lang w:val="en-US" w:eastAsia="zh-CN"/>
        </w:rPr>
        <w:t>C2</w:t>
      </w:r>
      <w:r>
        <w:rPr>
          <w:rFonts w:hint="eastAsia" w:ascii="仿宋_GB2312" w:hAnsi="仿宋_GB2312" w:eastAsia="仿宋_GB2312" w:cs="仿宋_GB2312"/>
          <w:sz w:val="32"/>
          <w:szCs w:val="32"/>
          <w:lang w:eastAsia="zh-CN"/>
        </w:rPr>
        <w:t>）证书，且变更为</w:t>
      </w:r>
      <w:r>
        <w:rPr>
          <w:rFonts w:hint="eastAsia" w:ascii="仿宋_GB2312" w:hAnsi="仿宋_GB2312" w:eastAsia="仿宋_GB2312" w:cs="仿宋_GB2312"/>
          <w:sz w:val="32"/>
          <w:szCs w:val="32"/>
          <w:lang w:val="en-US" w:eastAsia="zh-CN"/>
        </w:rPr>
        <w:t>C1或C2类证书后，不得再次申请变更为综合类（C3）证书</w:t>
      </w:r>
      <w:r>
        <w:rPr>
          <w:rFonts w:hint="eastAsia" w:ascii="仿宋_GB2312" w:hAnsi="仿宋_GB2312" w:eastAsia="仿宋_GB2312" w:cs="仿宋_GB2312"/>
          <w:sz w:val="32"/>
          <w:szCs w:val="32"/>
          <w:lang w:eastAsia="zh-CN"/>
        </w:rPr>
        <w:t>。</w:t>
      </w:r>
    </w:p>
    <w:p w14:paraId="2F3BBAB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自治区住房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城乡建设厅负责统筹全区建筑施工安全生产管理人员的考核合格证书电子证照信息管理，并建立健全以电子证照为载体的信用档案。各级</w:t>
      </w:r>
      <w:r>
        <w:rPr>
          <w:rFonts w:hint="eastAsia" w:ascii="仿宋_GB2312" w:hAnsi="仿宋_GB2312" w:eastAsia="仿宋_GB2312" w:cs="仿宋_GB2312"/>
          <w:sz w:val="32"/>
          <w:szCs w:val="32"/>
          <w:lang w:eastAsia="zh-CN"/>
        </w:rPr>
        <w:t>住房城乡建设</w:t>
      </w:r>
      <w:r>
        <w:rPr>
          <w:rFonts w:hint="eastAsia" w:ascii="仿宋_GB2312" w:hAnsi="仿宋_GB2312" w:eastAsia="仿宋_GB2312" w:cs="仿宋_GB2312"/>
          <w:sz w:val="32"/>
          <w:szCs w:val="32"/>
        </w:rPr>
        <w:t>主管部门现场检查应使用平台小程序进行扫码验真、人脸识别核验。</w:t>
      </w:r>
    </w:p>
    <w:p w14:paraId="090973B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2498D9E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十条</w:t>
      </w:r>
      <w:r>
        <w:rPr>
          <w:rFonts w:hint="eastAsia" w:ascii="仿宋_GB2312" w:hAnsi="仿宋_GB2312" w:eastAsia="仿宋_GB2312" w:cs="仿宋_GB2312"/>
          <w:sz w:val="32"/>
          <w:szCs w:val="32"/>
        </w:rPr>
        <w:t> 本细则由西藏自治区住房和城乡建设厅负责解释。</w:t>
      </w:r>
    </w:p>
    <w:p w14:paraId="4766234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本细则自</w:t>
      </w:r>
      <w:r>
        <w:rPr>
          <w:rFonts w:hint="eastAsia" w:ascii="仿宋_GB2312" w:hAnsi="仿宋_GB2312" w:eastAsia="仿宋_GB2312" w:cs="仿宋_GB2312"/>
          <w:sz w:val="32"/>
          <w:szCs w:val="32"/>
          <w:lang w:eastAsia="zh-CN"/>
        </w:rPr>
        <w:t>下发之日起满</w:t>
      </w:r>
      <w:r>
        <w:rPr>
          <w:rFonts w:hint="eastAsia" w:ascii="仿宋_GB2312" w:hAnsi="仿宋_GB2312" w:eastAsia="仿宋_GB2312" w:cs="仿宋_GB2312"/>
          <w:sz w:val="32"/>
          <w:szCs w:val="32"/>
          <w:lang w:val="en-US" w:eastAsia="zh-CN"/>
        </w:rPr>
        <w:t>3个月后</w:t>
      </w:r>
      <w:r>
        <w:rPr>
          <w:rFonts w:hint="eastAsia" w:ascii="仿宋_GB2312" w:hAnsi="仿宋_GB2312" w:eastAsia="仿宋_GB2312" w:cs="仿宋_GB2312"/>
          <w:sz w:val="32"/>
          <w:szCs w:val="32"/>
        </w:rPr>
        <w:t>施行。以往规定与本细则不一致的，以本细则为准。</w:t>
      </w:r>
    </w:p>
    <w:p w14:paraId="6637286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14:paraId="416BE630">
      <w:pPr>
        <w:pStyle w:val="2"/>
        <w:rPr>
          <w:rFonts w:hint="default" w:ascii="仿宋_GB2312" w:hAnsi="仿宋_GB2312" w:eastAsia="仿宋_GB2312" w:cs="仿宋_GB2312"/>
          <w:sz w:val="32"/>
          <w:szCs w:val="32"/>
          <w:lang w:val="en-US" w:eastAsia="zh-CN"/>
        </w:rPr>
      </w:pPr>
    </w:p>
    <w:p w14:paraId="46EC8EB9">
      <w:pPr>
        <w:jc w:val="left"/>
        <w:rPr>
          <w:rFonts w:hint="eastAsia" w:ascii="黑体" w:hAnsi="黑体" w:eastAsia="黑体" w:cs="黑体"/>
          <w:sz w:val="32"/>
          <w:szCs w:val="32"/>
          <w:u w:val="none"/>
          <w:lang w:val="en-US" w:eastAsia="zh-CN"/>
        </w:rPr>
      </w:pPr>
    </w:p>
    <w:p w14:paraId="60487795">
      <w:pPr>
        <w:pStyle w:val="2"/>
        <w:rPr>
          <w:rFonts w:hint="default"/>
          <w:sz w:val="32"/>
          <w:szCs w:val="32"/>
          <w:lang w:val="en-US" w:eastAsia="zh-CN"/>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3A467C-7BF5-48D8-82F6-BBAA996ABF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AEA5EAD-285D-4CA9-87FB-4021F2845E0F}"/>
  </w:font>
  <w:font w:name="Arial Unicode MS">
    <w:altName w:val="Arial"/>
    <w:panose1 w:val="020B0604020202020204"/>
    <w:charset w:val="00"/>
    <w:family w:val="swiss"/>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3" w:fontKey="{18A88444-F336-4FCA-8CB5-CA70588A4980}"/>
  </w:font>
  <w:font w:name="仿宋_GB2312">
    <w:panose1 w:val="02010609030101010101"/>
    <w:charset w:val="86"/>
    <w:family w:val="auto"/>
    <w:pitch w:val="default"/>
    <w:sig w:usb0="00000001" w:usb1="080E0000" w:usb2="00000000" w:usb3="00000000" w:csb0="00040000" w:csb1="00000000"/>
    <w:embedRegular r:id="rId4" w:fontKey="{B9CB8765-2F5B-49B0-B981-6DB33003996A}"/>
  </w:font>
  <w:font w:name="方正小标宋_GBK">
    <w:panose1 w:val="03000509000000000000"/>
    <w:charset w:val="86"/>
    <w:family w:val="auto"/>
    <w:pitch w:val="default"/>
    <w:sig w:usb0="00000001" w:usb1="080E0000" w:usb2="00000000" w:usb3="00000000" w:csb0="00040000" w:csb1="00000000"/>
    <w:embedRegular r:id="rId5" w:fontKey="{3B33408F-E29A-4521-9D05-1649CBCE39DC}"/>
  </w:font>
  <w:font w:name="楷体">
    <w:panose1 w:val="02010609060101010101"/>
    <w:charset w:val="86"/>
    <w:family w:val="auto"/>
    <w:pitch w:val="default"/>
    <w:sig w:usb0="800002BF" w:usb1="38CF7CFA" w:usb2="00000016" w:usb3="00000000" w:csb0="00040001" w:csb1="00000000"/>
    <w:embedRegular r:id="rId6" w:fontKey="{63048C9E-13BA-4EB8-BA4E-CA7C082FC046}"/>
  </w:font>
  <w:font w:name="Arial">
    <w:panose1 w:val="020B0604020202020204"/>
    <w:charset w:val="00"/>
    <w:family w:val="swiss"/>
    <w:pitch w:val="default"/>
    <w:sig w:usb0="E0002EFF" w:usb1="C000785B" w:usb2="00000009" w:usb3="00000000" w:csb0="400001FF" w:csb1="FFFF0000"/>
    <w:embedRegular r:id="rId7" w:fontKey="{0B7663E4-7BD6-4415-8774-D3DB9351BBF2}"/>
  </w:font>
  <w:font w:name="方正仿宋_GBK">
    <w:panose1 w:val="03000509000000000000"/>
    <w:charset w:val="86"/>
    <w:family w:val="auto"/>
    <w:pitch w:val="default"/>
    <w:sig w:usb0="00000001" w:usb1="080E0000" w:usb2="00000000" w:usb3="00000000" w:csb0="00040000" w:csb1="00000000"/>
    <w:embedRegular r:id="rId8" w:fontKey="{19AE2EFE-E4AC-4976-96F3-9E49DE173BEA}"/>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E0C6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811CA7">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2811CA7">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D1654"/>
    <w:rsid w:val="19DA69E3"/>
    <w:rsid w:val="2B377F8A"/>
    <w:rsid w:val="3E3FDC57"/>
    <w:rsid w:val="3F7D1654"/>
    <w:rsid w:val="4484172B"/>
    <w:rsid w:val="456F36F9"/>
    <w:rsid w:val="7F7DC4EB"/>
    <w:rsid w:val="7F9F96F9"/>
    <w:rsid w:val="F45B5884"/>
    <w:rsid w:val="FBBF67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0"/>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Indent 2"/>
    <w:basedOn w:val="1"/>
    <w:next w:val="4"/>
    <w:qFormat/>
    <w:uiPriority w:val="0"/>
    <w:pPr>
      <w:spacing w:after="120" w:line="480" w:lineRule="auto"/>
      <w:ind w:left="420" w:leftChars="200"/>
    </w:pPr>
  </w:style>
  <w:style w:type="paragraph" w:customStyle="1" w:styleId="4">
    <w:name w:val="reader-word-layer reader-word-s46-2"/>
    <w:basedOn w:val="1"/>
    <w:next w:val="5"/>
    <w:qFormat/>
    <w:uiPriority w:val="0"/>
    <w:pPr>
      <w:widowControl/>
      <w:spacing w:before="280" w:after="280"/>
    </w:pPr>
    <w:rPr>
      <w:rFonts w:ascii="宋体"/>
      <w:sz w:val="24"/>
    </w:rPr>
  </w:style>
  <w:style w:type="paragraph" w:customStyle="1" w:styleId="5">
    <w:name w:val="xl35"/>
    <w:basedOn w:val="1"/>
    <w:next w:val="1"/>
    <w:qFormat/>
    <w:uiPriority w:val="0"/>
    <w:pPr>
      <w:widowControl/>
      <w:shd w:val="clear" w:color="FFFFFF" w:fill="FFFFFF"/>
      <w:spacing w:before="280" w:after="280"/>
    </w:pPr>
    <w:rPr>
      <w:rFonts w:ascii="Arial Unicode MS" w:eastAsia="Arial Unicode MS"/>
      <w:sz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1361</Words>
  <Characters>1399</Characters>
  <Lines>0</Lines>
  <Paragraphs>0</Paragraphs>
  <TotalTime>5.66666666666667</TotalTime>
  <ScaleCrop>false</ScaleCrop>
  <LinksUpToDate>false</LinksUpToDate>
  <CharactersWithSpaces>1408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2026-02-07T20:34:00Z</dcterms:created>
  <dc:creator>uos</dc:creator>
  <cp:lastModifiedBy>每一段路、都是一种领悟  </cp:lastModifiedBy>
  <cp:lastPrinted>2026-02-07T00:06:18Z</cp:lastPrinted>
  <dcterms:modified xsi:type="dcterms:W3CDTF">2026-02-06T08:50:55Z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eyJoZGlkIjoiNmIzZmQ3ODNjY2MzOTI3MWNiNTU3YTM5Mjg1Y2MzNWQiLCJ1c2VySWQiOiIyMjc1ODQwNDEifQ==</vt:lpwstr>
  </property>
  <property fmtid="{D5CDD505-2E9C-101B-9397-08002B2CF9AE}" pid="4" name="ICV">
    <vt:lpwstr>64EDC09B77824769AB24FEBE2D2CF6C7_13</vt:lpwstr>
  </property>
</Properties>
</file>