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BF0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tbl>
      <w:tblPr>
        <w:tblStyle w:val="7"/>
        <w:tblW w:w="143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856"/>
        <w:gridCol w:w="2520"/>
        <w:gridCol w:w="840"/>
        <w:gridCol w:w="1380"/>
        <w:gridCol w:w="2790"/>
        <w:gridCol w:w="3263"/>
        <w:gridCol w:w="1282"/>
        <w:gridCol w:w="1005"/>
      </w:tblGrid>
      <w:tr w14:paraId="53F12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53" w:type="dxa"/>
            <w:gridSpan w:val="9"/>
            <w:vMerge w:val="restart"/>
            <w:tcBorders>
              <w:top w:val="nil"/>
              <w:left w:val="nil"/>
              <w:bottom w:val="nil"/>
              <w:right w:val="nil"/>
            </w:tcBorders>
            <w:noWrap/>
            <w:vAlign w:val="center"/>
          </w:tcPr>
          <w:p w14:paraId="25E60F3A">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bookmarkStart w:id="0" w:name="_GoBack"/>
            <w:r>
              <w:rPr>
                <w:rFonts w:hint="eastAsia" w:ascii="方正小标宋简体" w:hAnsi="方正小标宋简体" w:eastAsia="方正小标宋简体" w:cs="方正小标宋简体"/>
                <w:i w:val="0"/>
                <w:color w:val="000000"/>
                <w:kern w:val="0"/>
                <w:sz w:val="44"/>
                <w:szCs w:val="44"/>
                <w:u w:val="none"/>
                <w:lang w:val="en-US" w:eastAsia="zh-CN" w:bidi="ar"/>
              </w:rPr>
              <w:t>区内全国性股份制商业银行承办区直住房公积金业务评分表</w:t>
            </w:r>
            <w:bookmarkEnd w:id="0"/>
          </w:p>
        </w:tc>
      </w:tr>
      <w:tr w14:paraId="59A8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53" w:type="dxa"/>
            <w:gridSpan w:val="9"/>
            <w:vMerge w:val="continue"/>
            <w:tcBorders>
              <w:top w:val="nil"/>
              <w:left w:val="nil"/>
              <w:bottom w:val="nil"/>
              <w:right w:val="nil"/>
            </w:tcBorders>
            <w:noWrap/>
            <w:vAlign w:val="center"/>
          </w:tcPr>
          <w:p w14:paraId="20FF1015">
            <w:pPr>
              <w:jc w:val="center"/>
              <w:rPr>
                <w:rFonts w:hint="eastAsia" w:ascii="方正小标宋简体" w:hAnsi="方正小标宋简体" w:eastAsia="方正小标宋简体" w:cs="方正小标宋简体"/>
                <w:i w:val="0"/>
                <w:color w:val="000000"/>
                <w:sz w:val="44"/>
                <w:szCs w:val="44"/>
                <w:u w:val="none"/>
              </w:rPr>
            </w:pPr>
          </w:p>
        </w:tc>
      </w:tr>
      <w:tr w14:paraId="2C59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53" w:type="dxa"/>
            <w:gridSpan w:val="9"/>
            <w:vMerge w:val="continue"/>
            <w:tcBorders>
              <w:top w:val="nil"/>
              <w:left w:val="nil"/>
              <w:bottom w:val="nil"/>
              <w:right w:val="nil"/>
            </w:tcBorders>
            <w:noWrap/>
            <w:vAlign w:val="center"/>
          </w:tcPr>
          <w:p w14:paraId="3CFBDFDF">
            <w:pPr>
              <w:jc w:val="center"/>
              <w:rPr>
                <w:rFonts w:hint="eastAsia" w:ascii="方正小标宋简体" w:hAnsi="方正小标宋简体" w:eastAsia="方正小标宋简体" w:cs="方正小标宋简体"/>
                <w:i w:val="0"/>
                <w:color w:val="000000"/>
                <w:sz w:val="44"/>
                <w:szCs w:val="44"/>
                <w:u w:val="none"/>
              </w:rPr>
            </w:pPr>
          </w:p>
        </w:tc>
      </w:tr>
      <w:tr w14:paraId="5F34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353" w:type="dxa"/>
            <w:gridSpan w:val="9"/>
            <w:vMerge w:val="continue"/>
            <w:tcBorders>
              <w:top w:val="nil"/>
              <w:left w:val="nil"/>
              <w:bottom w:val="nil"/>
              <w:right w:val="nil"/>
            </w:tcBorders>
            <w:noWrap/>
            <w:vAlign w:val="center"/>
          </w:tcPr>
          <w:p w14:paraId="29E33BB3">
            <w:pPr>
              <w:jc w:val="center"/>
              <w:rPr>
                <w:rFonts w:hint="eastAsia" w:ascii="方正小标宋简体" w:hAnsi="方正小标宋简体" w:eastAsia="方正小标宋简体" w:cs="方正小标宋简体"/>
                <w:i w:val="0"/>
                <w:color w:val="000000"/>
                <w:sz w:val="44"/>
                <w:szCs w:val="44"/>
                <w:u w:val="none"/>
              </w:rPr>
            </w:pPr>
          </w:p>
        </w:tc>
      </w:tr>
      <w:tr w14:paraId="5052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14:paraId="5424DD0B">
            <w:pPr>
              <w:rPr>
                <w:rFonts w:hint="eastAsia" w:ascii="宋体" w:hAnsi="宋体" w:eastAsia="宋体" w:cs="宋体"/>
                <w:i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14:paraId="46A367A8">
            <w:pPr>
              <w:keepNext w:val="0"/>
              <w:keepLines w:val="0"/>
              <w:widowControl/>
              <w:suppressLineNumbers w:val="0"/>
              <w:jc w:val="center"/>
              <w:textAlignment w:val="center"/>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评分类别</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A573010">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具体指标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8CE184">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分值</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21A5EB6E">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指标性质</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6A1F5612">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评价口径</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289DE123">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评分办法</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7E9DEEF">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得分</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14:paraId="1FFED6A6">
            <w:pPr>
              <w:keepNext w:val="0"/>
              <w:keepLines w:val="0"/>
              <w:widowControl/>
              <w:suppressLineNumbers w:val="0"/>
              <w:jc w:val="center"/>
              <w:textAlignment w:val="center"/>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备注</w:t>
            </w:r>
          </w:p>
        </w:tc>
      </w:tr>
      <w:tr w14:paraId="7492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A4E45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通用指标</w:t>
            </w: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144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经营状况指标（30分）</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742805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总行资本充足率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7A87E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5D577A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顺向指标</w:t>
            </w:r>
          </w:p>
        </w:tc>
        <w:tc>
          <w:tcPr>
            <w:tcW w:w="2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A1F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银行总行2025年度经审计后披露的年度数据。</w:t>
            </w:r>
          </w:p>
        </w:tc>
        <w:tc>
          <w:tcPr>
            <w:tcW w:w="326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4F87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向指标：某行某项指标得分=某行某项指标权重×该项指标分值。其中，某行某项指标权重={某行某项指标-MIN（所有参与银行该项指标）}/{MAX（所有参与银行该项指标）-MIN（所有参与银行该项指标）}；逆向指标：某行某项指标得分=某行某项指标权重×该项指标分值。其中，某行某项指标权重={某行某项指标-MAX（所有参与银行该项指标）}/{MIN（所有参与银行该项指标）-MAX（所有参与银行该项指标）}。</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487038D3">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9566A58">
            <w:pPr>
              <w:rPr>
                <w:rFonts w:hint="eastAsia" w:ascii="宋体" w:hAnsi="宋体" w:eastAsia="宋体" w:cs="宋体"/>
                <w:i w:val="0"/>
                <w:color w:val="000000"/>
                <w:sz w:val="22"/>
                <w:szCs w:val="22"/>
                <w:u w:val="none"/>
              </w:rPr>
            </w:pPr>
          </w:p>
        </w:tc>
      </w:tr>
      <w:tr w14:paraId="68C76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A06EE">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B73A3">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711A4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总行不良贷款率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B23F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A7912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逆向指标</w:t>
            </w:r>
          </w:p>
        </w:tc>
        <w:tc>
          <w:tcPr>
            <w:tcW w:w="2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FBCF4C">
            <w:pPr>
              <w:jc w:val="center"/>
              <w:rPr>
                <w:rFonts w:hint="eastAsia" w:ascii="宋体" w:hAnsi="宋体" w:eastAsia="宋体" w:cs="宋体"/>
                <w:i w:val="0"/>
                <w:color w:val="000000"/>
                <w:sz w:val="22"/>
                <w:szCs w:val="22"/>
                <w:u w:val="none"/>
              </w:rPr>
            </w:pP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1A5F5">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5A4B539A">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5E368B45">
            <w:pPr>
              <w:rPr>
                <w:rFonts w:hint="eastAsia" w:ascii="宋体" w:hAnsi="宋体" w:eastAsia="宋体" w:cs="宋体"/>
                <w:i w:val="0"/>
                <w:color w:val="000000"/>
                <w:sz w:val="22"/>
                <w:szCs w:val="22"/>
                <w:u w:val="none"/>
              </w:rPr>
            </w:pPr>
          </w:p>
        </w:tc>
      </w:tr>
      <w:tr w14:paraId="216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436C3">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C4559">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A5463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总行拨备覆盖率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7E1C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7403D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顺向指标</w:t>
            </w:r>
          </w:p>
        </w:tc>
        <w:tc>
          <w:tcPr>
            <w:tcW w:w="2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25209">
            <w:pPr>
              <w:jc w:val="center"/>
              <w:rPr>
                <w:rFonts w:hint="eastAsia" w:ascii="宋体" w:hAnsi="宋体" w:eastAsia="宋体" w:cs="宋体"/>
                <w:i w:val="0"/>
                <w:color w:val="000000"/>
                <w:sz w:val="22"/>
                <w:szCs w:val="22"/>
                <w:u w:val="none"/>
              </w:rPr>
            </w:pP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F4DC3">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159580A7">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0E3CBC75">
            <w:pPr>
              <w:rPr>
                <w:rFonts w:hint="eastAsia" w:ascii="宋体" w:hAnsi="宋体" w:eastAsia="宋体" w:cs="宋体"/>
                <w:i w:val="0"/>
                <w:color w:val="000000"/>
                <w:sz w:val="22"/>
                <w:szCs w:val="22"/>
                <w:u w:val="none"/>
              </w:rPr>
            </w:pPr>
          </w:p>
        </w:tc>
      </w:tr>
      <w:tr w14:paraId="7821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8A46EF">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9B338">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2EF38B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总行流动性覆盖率</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1E26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19227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顺向指标</w:t>
            </w:r>
          </w:p>
        </w:tc>
        <w:tc>
          <w:tcPr>
            <w:tcW w:w="2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DAC7D1">
            <w:pPr>
              <w:jc w:val="center"/>
              <w:rPr>
                <w:rFonts w:hint="eastAsia" w:ascii="宋体" w:hAnsi="宋体" w:eastAsia="宋体" w:cs="宋体"/>
                <w:i w:val="0"/>
                <w:color w:val="000000"/>
                <w:sz w:val="22"/>
                <w:szCs w:val="22"/>
                <w:u w:val="none"/>
              </w:rPr>
            </w:pP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F5873">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1C9B5FB0">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7184840">
            <w:pPr>
              <w:rPr>
                <w:rFonts w:hint="eastAsia" w:ascii="宋体" w:hAnsi="宋体" w:eastAsia="宋体" w:cs="宋体"/>
                <w:i w:val="0"/>
                <w:color w:val="000000"/>
                <w:sz w:val="22"/>
                <w:szCs w:val="22"/>
                <w:u w:val="none"/>
              </w:rPr>
            </w:pPr>
          </w:p>
        </w:tc>
      </w:tr>
      <w:tr w14:paraId="2D4E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FCA88">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2AB76">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50A74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总行流动性比例</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F5F4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4E9AB4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顺向指标</w:t>
            </w:r>
          </w:p>
        </w:tc>
        <w:tc>
          <w:tcPr>
            <w:tcW w:w="2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99575">
            <w:pPr>
              <w:jc w:val="center"/>
              <w:rPr>
                <w:rFonts w:hint="eastAsia" w:ascii="宋体" w:hAnsi="宋体" w:eastAsia="宋体" w:cs="宋体"/>
                <w:i w:val="0"/>
                <w:color w:val="000000"/>
                <w:sz w:val="22"/>
                <w:szCs w:val="22"/>
                <w:u w:val="none"/>
              </w:rPr>
            </w:pP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972C7">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02F388D5">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D0FF033">
            <w:pPr>
              <w:rPr>
                <w:rFonts w:hint="eastAsia" w:ascii="宋体" w:hAnsi="宋体" w:eastAsia="宋体" w:cs="宋体"/>
                <w:i w:val="0"/>
                <w:color w:val="000000"/>
                <w:sz w:val="22"/>
                <w:szCs w:val="22"/>
                <w:u w:val="none"/>
              </w:rPr>
            </w:pPr>
          </w:p>
        </w:tc>
      </w:tr>
      <w:tr w14:paraId="6241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1B212">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7B65D">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354807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总行净资产总额</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9A0E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352377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顺向指标</w:t>
            </w:r>
          </w:p>
        </w:tc>
        <w:tc>
          <w:tcPr>
            <w:tcW w:w="2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02ABF">
            <w:pPr>
              <w:jc w:val="center"/>
              <w:rPr>
                <w:rFonts w:hint="eastAsia" w:ascii="宋体" w:hAnsi="宋体" w:eastAsia="宋体" w:cs="宋体"/>
                <w:i w:val="0"/>
                <w:color w:val="000000"/>
                <w:sz w:val="22"/>
                <w:szCs w:val="22"/>
                <w:u w:val="none"/>
              </w:rPr>
            </w:pP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7B7B9">
            <w:pPr>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2C98C979">
            <w:pPr>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9CC6A5D">
            <w:pPr>
              <w:rPr>
                <w:rFonts w:hint="eastAsia" w:ascii="宋体" w:hAnsi="宋体" w:eastAsia="宋体" w:cs="宋体"/>
                <w:i w:val="0"/>
                <w:color w:val="000000"/>
                <w:sz w:val="22"/>
                <w:szCs w:val="22"/>
                <w:u w:val="none"/>
              </w:rPr>
            </w:pPr>
          </w:p>
        </w:tc>
      </w:tr>
      <w:tr w14:paraId="5BBF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3DE6B">
            <w:pPr>
              <w:jc w:val="center"/>
              <w:rPr>
                <w:rFonts w:hint="eastAsia" w:ascii="宋体" w:hAnsi="宋体" w:eastAsia="宋体" w:cs="宋体"/>
                <w:i w:val="0"/>
                <w:color w:val="000000"/>
                <w:sz w:val="22"/>
                <w:szCs w:val="22"/>
                <w:u w:val="none"/>
              </w:rPr>
            </w:pPr>
          </w:p>
        </w:tc>
        <w:tc>
          <w:tcPr>
            <w:tcW w:w="856" w:type="dxa"/>
            <w:vMerge w:val="restart"/>
            <w:tcBorders>
              <w:top w:val="single" w:color="000000" w:sz="4" w:space="0"/>
              <w:left w:val="single" w:color="000000" w:sz="4" w:space="0"/>
              <w:bottom w:val="single" w:color="000000" w:sz="4" w:space="0"/>
              <w:right w:val="single" w:color="000000" w:sz="4" w:space="0"/>
            </w:tcBorders>
            <w:noWrap w:val="0"/>
            <w:vAlign w:val="center"/>
          </w:tcPr>
          <w:p w14:paraId="26CE25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基本指标（20分）</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37FF8F4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持有国家银行业监督管理机构核发的《中华人民共和国金融许可证》以及市场监督管理部门颁发的营业执照。</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55BE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7AF80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90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承诺函及相关证明材料</w:t>
            </w: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45C05D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提供复印件并加盖公章得3分；未提供或未加盖公章不得分。</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2B2194B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C4D03CA">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r>
      <w:tr w14:paraId="43BA6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15F10">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7E32B">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2B5171A2">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依法开展经营活动，近2年内在经营活动中无违法、重大违纪记录。</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8981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10E3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1AE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15BD04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提供承诺函原件加盖公章得3分；未提供或未加盖公章不得分。</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4C4C3BB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38A85892">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r>
      <w:tr w14:paraId="1FB1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6DAEA">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61575">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0C8C1577">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会计核算和运营管理符合银行业规定，内部管理控制机制健全，具备较强的风险防控能力，近2年内未发生金融风险及重大违约事件。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87BA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26EDE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F2BA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0947B4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提供承诺函、风险管控制度等证明材料得3分；未提供的不得分。</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6FAF7013">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4FB7FE4">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r>
      <w:tr w14:paraId="6B78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DA514">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B5906">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1202B7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ascii="Calibri" w:hAnsi="Calibri" w:eastAsia="宋体" w:cs="Calibri"/>
                <w:i w:val="0"/>
                <w:color w:val="000000"/>
                <w:sz w:val="22"/>
                <w:szCs w:val="22"/>
                <w:u w:val="none"/>
              </w:rPr>
            </w:pPr>
            <w:r>
              <w:rPr>
                <w:rFonts w:hint="default" w:ascii="Calibri" w:hAnsi="Calibri" w:eastAsia="宋体" w:cs="Calibri"/>
                <w:i w:val="0"/>
                <w:color w:val="000000"/>
                <w:kern w:val="0"/>
                <w:sz w:val="22"/>
                <w:szCs w:val="22"/>
                <w:u w:val="none"/>
                <w:lang w:val="en-US" w:eastAsia="zh-CN" w:bidi="ar"/>
              </w:rPr>
              <w:t>202</w:t>
            </w:r>
            <w:r>
              <w:rPr>
                <w:rFonts w:hint="eastAsia" w:eastAsia="宋体" w:cs="Calibri"/>
                <w:i w:val="0"/>
                <w:color w:val="000000"/>
                <w:kern w:val="0"/>
                <w:sz w:val="22"/>
                <w:szCs w:val="22"/>
                <w:u w:val="none"/>
                <w:lang w:val="en-US" w:eastAsia="zh-CN" w:bidi="ar"/>
              </w:rPr>
              <w:t>5</w:t>
            </w:r>
            <w:r>
              <w:rPr>
                <w:rStyle w:val="10"/>
                <w:lang w:val="en-US" w:eastAsia="zh-CN" w:bidi="ar"/>
              </w:rPr>
              <w:t>年度中国人民银行西藏自治区分行综合评价等级为</w:t>
            </w:r>
            <w:r>
              <w:rPr>
                <w:rStyle w:val="11"/>
                <w:rFonts w:eastAsia="宋体"/>
                <w:lang w:val="en-US" w:eastAsia="zh-CN" w:bidi="ar"/>
              </w:rPr>
              <w:t>B</w:t>
            </w:r>
            <w:r>
              <w:rPr>
                <w:rStyle w:val="10"/>
                <w:lang w:val="en-US" w:eastAsia="zh-CN" w:bidi="ar"/>
              </w:rPr>
              <w:t>等及以上。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672DF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4538E1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9E6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506E747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中国人民银行西藏自治区分行关于2025年度银行业机构综合评价情况的通报复印件加盖参与银行公章得3分；未提供或未加盖公章不得分。</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04C618D9">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B8FD29E">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r>
      <w:tr w14:paraId="69CC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AA8FC">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57961">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5DFE1CA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w:t>
            </w:r>
            <w:r>
              <w:rPr>
                <w:rStyle w:val="11"/>
                <w:rFonts w:eastAsia="宋体"/>
                <w:lang w:val="en-US" w:eastAsia="zh-CN" w:bidi="ar"/>
              </w:rPr>
              <w:t>3</w:t>
            </w:r>
            <w:r>
              <w:rPr>
                <w:rStyle w:val="10"/>
                <w:lang w:val="en-US" w:eastAsia="zh-CN" w:bidi="ar"/>
              </w:rPr>
              <w:t>年内区内的商业性个人住房贷款发放笔数。</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BA0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1AD6B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72952B7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54350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1-500（含）笔得1分，501-1000（含）笔得2分，1001-1500（含）笔得3分，1501笔及以上得4分。</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1E0FA99E">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53917C7">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r>
      <w:tr w14:paraId="1290B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09903">
            <w:pPr>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210D0">
            <w:pPr>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51B58DB0">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近</w:t>
            </w:r>
            <w:r>
              <w:rPr>
                <w:rStyle w:val="11"/>
                <w:rFonts w:eastAsia="宋体"/>
                <w:lang w:val="en-US" w:eastAsia="zh-CN" w:bidi="ar"/>
              </w:rPr>
              <w:t>3</w:t>
            </w:r>
            <w:r>
              <w:rPr>
                <w:rStyle w:val="10"/>
                <w:lang w:val="en-US" w:eastAsia="zh-CN" w:bidi="ar"/>
              </w:rPr>
              <w:t>年内区内的楼盘合作数量。</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F6260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F8D3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tcBorders>
              <w:top w:val="single" w:color="000000" w:sz="4" w:space="0"/>
              <w:left w:val="single" w:color="000000" w:sz="4" w:space="0"/>
              <w:bottom w:val="single" w:color="000000" w:sz="4" w:space="0"/>
              <w:right w:val="single" w:color="000000" w:sz="4" w:space="0"/>
            </w:tcBorders>
            <w:noWrap/>
            <w:vAlign w:val="center"/>
          </w:tcPr>
          <w:p w14:paraId="002C507E">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noWrap w:val="0"/>
            <w:vAlign w:val="center"/>
          </w:tcPr>
          <w:p w14:paraId="6292BB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每合作一个楼盘得0.3分，最高得4分。需提供准入楼盘合作</w:t>
            </w:r>
            <w:r>
              <w:rPr>
                <w:rFonts w:hint="eastAsia" w:ascii="宋体" w:hAnsi="宋体" w:cs="宋体"/>
                <w:i w:val="0"/>
                <w:color w:val="000000"/>
                <w:kern w:val="0"/>
                <w:sz w:val="22"/>
                <w:szCs w:val="22"/>
                <w:u w:val="none"/>
                <w:lang w:val="en-US" w:eastAsia="zh-CN" w:bidi="ar"/>
              </w:rPr>
              <w:t>协议复印件并加盖公章。</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3078D406">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192A635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color w:val="000000"/>
                <w:sz w:val="22"/>
                <w:szCs w:val="22"/>
                <w:u w:val="none"/>
              </w:rPr>
            </w:pPr>
          </w:p>
        </w:tc>
      </w:tr>
      <w:tr w14:paraId="331C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67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自选指标</w:t>
            </w:r>
          </w:p>
        </w:tc>
        <w:tc>
          <w:tcPr>
            <w:tcW w:w="856" w:type="dxa"/>
            <w:vMerge w:val="restart"/>
            <w:tcBorders>
              <w:top w:val="single" w:color="000000" w:sz="4" w:space="0"/>
              <w:left w:val="nil"/>
              <w:bottom w:val="single" w:color="000000" w:sz="4" w:space="0"/>
              <w:right w:val="nil"/>
            </w:tcBorders>
            <w:noWrap w:val="0"/>
            <w:vAlign w:val="center"/>
          </w:tcPr>
          <w:p w14:paraId="06D0B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服务水平指标（50分）</w:t>
            </w: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2EF8A8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住房公积金归集扩面工作。</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AD7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6A7C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5CFD9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1.承诺整合优势资源，开展缴存扩面宣传引导工作方案，工作方案要求工作目标明确、工作措施具体、实施步骤清晰、保障机制有力；                             2.催缴工作方案或措施。</w:t>
            </w:r>
          </w:p>
        </w:tc>
        <w:tc>
          <w:tcPr>
            <w:tcW w:w="3263" w:type="dxa"/>
            <w:vMerge w:val="restart"/>
            <w:tcBorders>
              <w:top w:val="single" w:color="000000" w:sz="4" w:space="0"/>
              <w:left w:val="single" w:color="000000" w:sz="4" w:space="0"/>
              <w:bottom w:val="single" w:color="000000" w:sz="4" w:space="0"/>
              <w:right w:val="single" w:color="000000" w:sz="4" w:space="0"/>
            </w:tcBorders>
            <w:noWrap w:val="0"/>
            <w:vAlign w:val="center"/>
          </w:tcPr>
          <w:p w14:paraId="2A1D7E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p>
          <w:p w14:paraId="25EFB3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p>
          <w:p w14:paraId="381FC3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p>
          <w:p w14:paraId="732C89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2"/>
                <w:szCs w:val="22"/>
                <w:u w:val="none"/>
                <w:lang w:val="en-US" w:eastAsia="zh-CN" w:bidi="ar"/>
              </w:rPr>
            </w:pPr>
          </w:p>
          <w:p w14:paraId="23A60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选小组各成员对所有参与银行提交的各个具体方案的科学性、可行性、完整性等进行综合比较评比后分五档计分（优秀、较好、一般、较差、差）。每一项具体方案：优秀得该项85%（含）-100%（含）分值，较好得该项70%（含）-85%（不含）分值，一般得该项60%（含）-70%（不含）分值，较差、差或未提交该项方案不得分。</w:t>
            </w: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32C4206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4C974B6">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14:paraId="1872F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E13D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nil"/>
              <w:bottom w:val="single" w:color="000000" w:sz="4" w:space="0"/>
              <w:right w:val="nil"/>
            </w:tcBorders>
            <w:noWrap w:val="0"/>
            <w:vAlign w:val="center"/>
          </w:tcPr>
          <w:p w14:paraId="0BD52A6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5DD505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住房公积金贷款受托业务服务方案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101DE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5D4C31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C3A0E8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r>
              <w:rPr>
                <w:rStyle w:val="12"/>
                <w:rFonts w:hint="eastAsia" w:ascii="宋体" w:hAnsi="宋体" w:eastAsia="宋体" w:cs="宋体"/>
                <w:lang w:val="en-US" w:eastAsia="zh-CN" w:bidi="ar"/>
              </w:rPr>
              <w:t>.住房公积金贷款业务专门管理机构设置及管理人员配备方案；</w:t>
            </w:r>
            <w:r>
              <w:rPr>
                <w:rStyle w:val="13"/>
                <w:rFonts w:hint="eastAsia" w:ascii="宋体" w:hAnsi="宋体" w:eastAsia="宋体" w:cs="宋体"/>
                <w:lang w:val="en-US" w:eastAsia="zh-CN" w:bidi="ar"/>
              </w:rPr>
              <w:br w:type="textWrapping"/>
            </w:r>
            <w:r>
              <w:rPr>
                <w:rStyle w:val="13"/>
                <w:rFonts w:hint="eastAsia" w:ascii="宋体" w:hAnsi="宋体" w:eastAsia="宋体" w:cs="宋体"/>
                <w:lang w:val="en-US" w:eastAsia="zh-CN" w:bidi="ar"/>
              </w:rPr>
              <w:t>2</w:t>
            </w:r>
            <w:r>
              <w:rPr>
                <w:rStyle w:val="12"/>
                <w:rFonts w:hint="eastAsia" w:ascii="宋体" w:hAnsi="宋体" w:eastAsia="宋体" w:cs="宋体"/>
                <w:lang w:val="en-US" w:eastAsia="zh-CN" w:bidi="ar"/>
              </w:rPr>
              <w:t>.住房公积金贷款服务网点标准化与专业化建设、资源配置、业务专柜设置等方案；</w:t>
            </w:r>
            <w:r>
              <w:rPr>
                <w:rStyle w:val="13"/>
                <w:rFonts w:hint="eastAsia" w:ascii="宋体" w:hAnsi="宋体" w:eastAsia="宋体" w:cs="宋体"/>
                <w:lang w:val="en-US" w:eastAsia="zh-CN" w:bidi="ar"/>
              </w:rPr>
              <w:br w:type="textWrapping"/>
            </w:r>
            <w:r>
              <w:rPr>
                <w:rStyle w:val="13"/>
                <w:rFonts w:hint="eastAsia" w:ascii="宋体" w:hAnsi="宋体" w:eastAsia="宋体" w:cs="宋体"/>
                <w:lang w:val="en-US" w:eastAsia="zh-CN" w:bidi="ar"/>
              </w:rPr>
              <w:t>3</w:t>
            </w:r>
            <w:r>
              <w:rPr>
                <w:rStyle w:val="12"/>
                <w:rFonts w:hint="eastAsia" w:ascii="宋体" w:hAnsi="宋体" w:eastAsia="宋体" w:cs="宋体"/>
                <w:lang w:val="en-US" w:eastAsia="zh-CN" w:bidi="ar"/>
              </w:rPr>
              <w:t>.住房公积金贷款相关管理制度、规范，包括但不限于符合住房公积金贷款管理服务要求的银行内部控制制度、风险管理制度、保密制度、沟通协调制度、投诉处理制度等；</w:t>
            </w:r>
            <w:r>
              <w:rPr>
                <w:rStyle w:val="13"/>
                <w:rFonts w:hint="eastAsia" w:ascii="宋体" w:hAnsi="宋体" w:eastAsia="宋体" w:cs="宋体"/>
                <w:lang w:val="en-US" w:eastAsia="zh-CN" w:bidi="ar"/>
              </w:rPr>
              <w:t xml:space="preserve"> </w:t>
            </w:r>
            <w:r>
              <w:rPr>
                <w:rStyle w:val="13"/>
                <w:rFonts w:hint="eastAsia" w:ascii="宋体" w:hAnsi="宋体" w:eastAsia="宋体" w:cs="宋体"/>
                <w:lang w:val="en-US" w:eastAsia="zh-CN" w:bidi="ar"/>
              </w:rPr>
              <w:br w:type="textWrapping"/>
            </w:r>
            <w:r>
              <w:rPr>
                <w:rStyle w:val="13"/>
                <w:rFonts w:hint="eastAsia" w:ascii="宋体" w:hAnsi="宋体" w:eastAsia="宋体" w:cs="宋体"/>
                <w:lang w:val="en-US" w:eastAsia="zh-CN" w:bidi="ar"/>
              </w:rPr>
              <w:t>4</w:t>
            </w:r>
            <w:r>
              <w:rPr>
                <w:rStyle w:val="12"/>
                <w:rFonts w:hint="eastAsia" w:ascii="宋体" w:hAnsi="宋体" w:eastAsia="宋体" w:cs="宋体"/>
                <w:lang w:val="en-US" w:eastAsia="zh-CN" w:bidi="ar"/>
              </w:rPr>
              <w:t>.承诺维护职工合法权益方案；</w:t>
            </w:r>
            <w:r>
              <w:rPr>
                <w:rStyle w:val="14"/>
                <w:rFonts w:hint="eastAsia" w:ascii="宋体" w:hAnsi="宋体" w:eastAsia="宋体" w:cs="宋体"/>
                <w:lang w:val="en-US" w:eastAsia="zh-CN" w:bidi="ar"/>
              </w:rPr>
              <w:t xml:space="preserve">                         5.贷款催收</w:t>
            </w:r>
            <w:r>
              <w:rPr>
                <w:rStyle w:val="14"/>
                <w:lang w:val="en-US" w:eastAsia="zh-CN" w:bidi="ar"/>
              </w:rPr>
              <w:t>工作方案或措施。</w:t>
            </w: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BBB0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6CDE67A9">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6150DB7">
            <w:pPr>
              <w:keepNext w:val="0"/>
              <w:keepLines w:val="0"/>
              <w:pageBreakBefore w:val="0"/>
              <w:widowControl/>
              <w:kinsoku/>
              <w:wordWrap/>
              <w:overflowPunct/>
              <w:topLinePunct w:val="0"/>
              <w:autoSpaceDE/>
              <w:autoSpaceDN/>
              <w:bidi w:val="0"/>
              <w:adjustRightInd/>
              <w:snapToGrid/>
              <w:spacing w:line="300" w:lineRule="exact"/>
              <w:rPr>
                <w:rFonts w:hint="eastAsia" w:ascii="宋体" w:hAnsi="宋体" w:eastAsia="宋体" w:cs="宋体"/>
                <w:i w:val="0"/>
                <w:color w:val="000000"/>
                <w:sz w:val="22"/>
                <w:szCs w:val="22"/>
                <w:u w:val="none"/>
              </w:rPr>
            </w:pPr>
          </w:p>
        </w:tc>
      </w:tr>
      <w:tr w14:paraId="0204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5"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4607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nil"/>
              <w:bottom w:val="single" w:color="000000" w:sz="4" w:space="0"/>
              <w:right w:val="nil"/>
            </w:tcBorders>
            <w:noWrap w:val="0"/>
            <w:vAlign w:val="center"/>
          </w:tcPr>
          <w:p w14:paraId="2D7145B0">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393A83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住房公积金业务结算服务方案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124D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65B8AA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定性指标</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7B116B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建立负责住房公积金业务结算的专门队伍，严格按照中心业务要求，将每月对账单等相关凭证送交中心。（提供承诺函）；2.银行应具有承办住房公积金贷款业务线上结算的科技能力，根据贷款发放、回收等业务的结算要求，通过数据交互接口方式实现贷款业务的资金结算，实时将银行核心系统的中心银行账户流水和电子票据传输到中心，确保流水和电子票据的合法、真实、准确、唯一。（提供结算方案）</w:t>
            </w: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D282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68F23E8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63D0F018">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14:paraId="75F0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2371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nil"/>
              <w:bottom w:val="single" w:color="000000" w:sz="4" w:space="0"/>
              <w:right w:val="nil"/>
            </w:tcBorders>
            <w:noWrap w:val="0"/>
            <w:vAlign w:val="center"/>
          </w:tcPr>
          <w:p w14:paraId="308644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71286D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住房公积金业务系统维护方案</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ECCD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78EC5F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定性指标</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4B9BB2D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应包含数据安全、专线搭建、运维团队、运维响应时间以及对住房公积金业务系统对接开发团队等主要内容，方案详实完整，科学可行。</w:t>
            </w: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A7C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36DDD2DB">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4C52AA1E">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r w14:paraId="1C3E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558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856" w:type="dxa"/>
            <w:vMerge w:val="continue"/>
            <w:tcBorders>
              <w:top w:val="single" w:color="000000" w:sz="4" w:space="0"/>
              <w:left w:val="nil"/>
              <w:bottom w:val="single" w:color="000000" w:sz="4" w:space="0"/>
              <w:right w:val="nil"/>
            </w:tcBorders>
            <w:noWrap w:val="0"/>
            <w:vAlign w:val="center"/>
          </w:tcPr>
          <w:p w14:paraId="69B1ADB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000000"/>
                <w:sz w:val="22"/>
                <w:szCs w:val="22"/>
                <w:u w:val="none"/>
              </w:rPr>
            </w:pPr>
          </w:p>
        </w:tc>
        <w:tc>
          <w:tcPr>
            <w:tcW w:w="2520" w:type="dxa"/>
            <w:tcBorders>
              <w:top w:val="single" w:color="000000" w:sz="4" w:space="0"/>
              <w:left w:val="single" w:color="000000" w:sz="4" w:space="0"/>
              <w:bottom w:val="single" w:color="000000" w:sz="4" w:space="0"/>
              <w:right w:val="single" w:color="000000" w:sz="4" w:space="0"/>
            </w:tcBorders>
            <w:noWrap/>
            <w:vAlign w:val="center"/>
          </w:tcPr>
          <w:p w14:paraId="6AADFA8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其他方案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C1CD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noWrap w:val="0"/>
            <w:vAlign w:val="center"/>
          </w:tcPr>
          <w:p w14:paraId="68008E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定性指标</w:t>
            </w:r>
          </w:p>
        </w:tc>
        <w:tc>
          <w:tcPr>
            <w:tcW w:w="2790" w:type="dxa"/>
            <w:tcBorders>
              <w:top w:val="single" w:color="000000" w:sz="4" w:space="0"/>
              <w:left w:val="single" w:color="000000" w:sz="4" w:space="0"/>
              <w:bottom w:val="single" w:color="000000" w:sz="4" w:space="0"/>
              <w:right w:val="single" w:color="000000" w:sz="4" w:space="0"/>
            </w:tcBorders>
            <w:noWrap w:val="0"/>
            <w:vAlign w:val="center"/>
          </w:tcPr>
          <w:p w14:paraId="53F41F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差异化服务方案、应急处理预案、公积金人员相关奖惩机制。</w:t>
            </w:r>
          </w:p>
        </w:tc>
        <w:tc>
          <w:tcPr>
            <w:tcW w:w="32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ABB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22"/>
                <w:szCs w:val="22"/>
                <w:u w:val="none"/>
              </w:rPr>
            </w:pPr>
          </w:p>
        </w:tc>
        <w:tc>
          <w:tcPr>
            <w:tcW w:w="1282" w:type="dxa"/>
            <w:tcBorders>
              <w:top w:val="single" w:color="000000" w:sz="4" w:space="0"/>
              <w:left w:val="single" w:color="000000" w:sz="4" w:space="0"/>
              <w:bottom w:val="single" w:color="000000" w:sz="4" w:space="0"/>
              <w:right w:val="single" w:color="000000" w:sz="4" w:space="0"/>
            </w:tcBorders>
            <w:noWrap/>
            <w:vAlign w:val="center"/>
          </w:tcPr>
          <w:p w14:paraId="38C508D7">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noWrap/>
            <w:vAlign w:val="center"/>
          </w:tcPr>
          <w:p w14:paraId="2DAE4EB4">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22"/>
                <w:szCs w:val="22"/>
                <w:u w:val="none"/>
              </w:rPr>
            </w:pPr>
          </w:p>
        </w:tc>
      </w:tr>
    </w:tbl>
    <w:p w14:paraId="20497B4F">
      <w:pPr>
        <w:pStyle w:val="4"/>
      </w:pPr>
    </w:p>
    <w:sectPr>
      <w:footerReference r:id="rId3" w:type="default"/>
      <w:pgSz w:w="16838" w:h="11906" w:orient="landscape"/>
      <w:pgMar w:top="1531" w:right="1304" w:bottom="1531" w:left="1304" w:header="851" w:footer="992" w:gutter="0"/>
      <w:pgNumType w:fmt="numberInDash"/>
      <w:cols w:space="720" w:num="1"/>
      <w:rtlGutter w:val="0"/>
      <w:docGrid w:type="linesAndChars" w:linePitch="64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1047B22-12DF-4A75-8161-3FD8673A3B82}"/>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C48F673C-9216-4896-91A0-3FAF94BFDE50}"/>
  </w:font>
  <w:font w:name="方正小标宋简体">
    <w:panose1 w:val="02000000000000000000"/>
    <w:charset w:val="86"/>
    <w:family w:val="auto"/>
    <w:pitch w:val="default"/>
    <w:sig w:usb0="00000001" w:usb1="08000000" w:usb2="00000000" w:usb3="00000000" w:csb0="00040000" w:csb1="00000000"/>
    <w:embedRegular r:id="rId3" w:fontKey="{924FE5F8-06D0-408D-9879-1CB473B8A6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3F57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64FD97">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264FD97">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DBE771"/>
    <w:rsid w:val="036E68BB"/>
    <w:rsid w:val="0FF755A2"/>
    <w:rsid w:val="218C47D6"/>
    <w:rsid w:val="4E197887"/>
    <w:rsid w:val="5FCD6650"/>
    <w:rsid w:val="64862B91"/>
    <w:rsid w:val="67D7241D"/>
    <w:rsid w:val="6CC36149"/>
    <w:rsid w:val="777F7E33"/>
    <w:rsid w:val="7CFF1152"/>
    <w:rsid w:val="7DEFF1A7"/>
    <w:rsid w:val="7EBF7A53"/>
    <w:rsid w:val="7EFBDD7F"/>
    <w:rsid w:val="7FBBFE4E"/>
    <w:rsid w:val="7FFF0E9F"/>
    <w:rsid w:val="7FFF5F32"/>
    <w:rsid w:val="8FDC73D0"/>
    <w:rsid w:val="9FB7775E"/>
    <w:rsid w:val="AEAC2A1B"/>
    <w:rsid w:val="B5FF8F71"/>
    <w:rsid w:val="BA7B23C6"/>
    <w:rsid w:val="BF79D298"/>
    <w:rsid w:val="CF3B3245"/>
    <w:rsid w:val="DAEB51A0"/>
    <w:rsid w:val="DF3E038B"/>
    <w:rsid w:val="DFF59314"/>
    <w:rsid w:val="EB2B8D1F"/>
    <w:rsid w:val="EF5F7237"/>
    <w:rsid w:val="F3FFE26A"/>
    <w:rsid w:val="F5BEC46C"/>
    <w:rsid w:val="F5FB16C7"/>
    <w:rsid w:val="FAF65C0A"/>
    <w:rsid w:val="FBDBE771"/>
    <w:rsid w:val="FE734873"/>
    <w:rsid w:val="FEDE11F0"/>
    <w:rsid w:val="FF6E57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color w:val="auto"/>
      <w:kern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ind w:firstLine="640" w:firstLineChars="200"/>
    </w:pPr>
    <w:rPr>
      <w:rFonts w:ascii="仿宋_GB2312" w:eastAsia="仿宋_GB2312"/>
      <w:sz w:val="32"/>
      <w:szCs w:val="24"/>
    </w:rPr>
  </w:style>
  <w:style w:type="paragraph" w:styleId="4">
    <w:name w:val="toc 3"/>
    <w:basedOn w:val="1"/>
    <w:next w:val="1"/>
    <w:unhideWhenUsed/>
    <w:qFormat/>
    <w:uiPriority w:val="39"/>
    <w:pPr>
      <w:ind w:left="840" w:leftChars="400"/>
    </w:pPr>
  </w:style>
  <w:style w:type="paragraph" w:styleId="5">
    <w:name w:val="Block Text"/>
    <w:basedOn w:val="1"/>
    <w:qFormat/>
    <w:uiPriority w:val="99"/>
    <w:pPr>
      <w:spacing w:after="120"/>
      <w:ind w:left="1440" w:leftChars="700" w:right="1440" w:rightChars="700"/>
    </w:pPr>
  </w:style>
  <w:style w:type="paragraph" w:styleId="6">
    <w:name w:val="footer"/>
    <w:basedOn w:val="1"/>
    <w:next w:val="1"/>
    <w:qFormat/>
    <w:uiPriority w:val="0"/>
    <w:pPr>
      <w:tabs>
        <w:tab w:val="center" w:pos="4153"/>
        <w:tab w:val="right" w:pos="8306"/>
      </w:tabs>
      <w:snapToGrid w:val="0"/>
      <w:jc w:val="left"/>
    </w:pPr>
    <w:rPr>
      <w:sz w:val="18"/>
    </w:rPr>
  </w:style>
  <w:style w:type="paragraph" w:customStyle="1" w:styleId="9">
    <w:name w:val="列表段落1"/>
    <w:basedOn w:val="1"/>
    <w:qFormat/>
    <w:uiPriority w:val="1"/>
    <w:pPr>
      <w:ind w:left="106" w:hanging="301"/>
    </w:pPr>
    <w:rPr>
      <w:rFonts w:ascii="宋体" w:hAnsi="宋体" w:cs="宋体"/>
      <w:lang w:val="zh-CN" w:bidi="zh-CN"/>
    </w:rPr>
  </w:style>
  <w:style w:type="character" w:customStyle="1" w:styleId="10">
    <w:name w:val="font41"/>
    <w:basedOn w:val="8"/>
    <w:uiPriority w:val="0"/>
    <w:rPr>
      <w:rFonts w:hint="eastAsia" w:ascii="宋体" w:hAnsi="宋体" w:eastAsia="宋体" w:cs="宋体"/>
      <w:color w:val="000000"/>
      <w:sz w:val="22"/>
      <w:szCs w:val="22"/>
      <w:u w:val="none"/>
    </w:rPr>
  </w:style>
  <w:style w:type="character" w:customStyle="1" w:styleId="11">
    <w:name w:val="font61"/>
    <w:basedOn w:val="8"/>
    <w:uiPriority w:val="0"/>
    <w:rPr>
      <w:rFonts w:hint="default" w:ascii="Calibri" w:hAnsi="Calibri" w:cs="Calibri"/>
      <w:color w:val="000000"/>
      <w:sz w:val="22"/>
      <w:szCs w:val="22"/>
      <w:u w:val="none"/>
    </w:rPr>
  </w:style>
  <w:style w:type="character" w:customStyle="1" w:styleId="12">
    <w:name w:val="font21"/>
    <w:basedOn w:val="8"/>
    <w:uiPriority w:val="0"/>
    <w:rPr>
      <w:rFonts w:ascii="方正书宋_GBK" w:hAnsi="方正书宋_GBK" w:eastAsia="方正书宋_GBK" w:cs="方正书宋_GBK"/>
      <w:color w:val="000000"/>
      <w:sz w:val="22"/>
      <w:szCs w:val="22"/>
      <w:u w:val="none"/>
    </w:rPr>
  </w:style>
  <w:style w:type="character" w:customStyle="1" w:styleId="13">
    <w:name w:val="font11"/>
    <w:basedOn w:val="8"/>
    <w:qFormat/>
    <w:uiPriority w:val="0"/>
    <w:rPr>
      <w:rFonts w:hint="default" w:ascii="Calibri" w:hAnsi="Calibri" w:cs="Calibri"/>
      <w:color w:val="000000"/>
      <w:sz w:val="22"/>
      <w:szCs w:val="22"/>
      <w:u w:val="none"/>
    </w:rPr>
  </w:style>
  <w:style w:type="character" w:customStyle="1" w:styleId="14">
    <w:name w:val="font01"/>
    <w:basedOn w:val="8"/>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2994</Words>
  <Characters>3135</Characters>
  <Lines>0</Lines>
  <Paragraphs>0</Paragraphs>
  <TotalTime>254</TotalTime>
  <ScaleCrop>false</ScaleCrop>
  <LinksUpToDate>false</LinksUpToDate>
  <CharactersWithSpaces>3195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2025-11-14T08:43:00Z</dcterms:created>
  <dc:creator>uos</dc:creator>
  <cp:lastModifiedBy>每一段路、都是一种领悟  </cp:lastModifiedBy>
  <cp:lastPrinted>2026-01-26T09:57:00Z</cp:lastPrinted>
  <dcterms:modified xsi:type="dcterms:W3CDTF">2026-01-26T03:06:54Z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98A699D1C6CC4243A67C62B20056ABBB_13</vt:lpwstr>
  </property>
  <property fmtid="{D5CDD505-2E9C-101B-9397-08002B2CF9AE}" pid="4" name="KSOTemplateDocerSaveRecord">
    <vt:lpwstr>eyJoZGlkIjoiNmIzZmQ3ODNjY2MzOTI3MWNiNTU3YTM5Mjg1Y2MzNWQiLCJ1c2VySWQiOiIyMjc1ODQwNDEifQ==</vt:lpwstr>
  </property>
</Properties>
</file>