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E1CE4B">
      <w:pPr>
        <w:spacing w:after="312"/>
        <w:ind w:firstLine="622"/>
        <w:rPr>
          <w:rFonts w:eastAsia="文鼎特粗宋体简" w:cs="Times New Roman"/>
          <w:b/>
          <w:spacing w:val="50"/>
          <w:szCs w:val="21"/>
        </w:rPr>
      </w:pPr>
    </w:p>
    <w:p w14:paraId="36B3D449">
      <w:pPr>
        <w:ind w:firstLine="0" w:firstLineChars="0"/>
        <w:rPr>
          <w:rFonts w:eastAsia="文鼎特粗宋体简" w:cs="Times New Roman"/>
          <w:b/>
          <w:spacing w:val="50"/>
          <w:szCs w:val="21"/>
        </w:rPr>
      </w:pPr>
      <w:r>
        <w:rPr>
          <w:rFonts w:eastAsia="文鼎特粗宋体简" w:cs="Times New Roman"/>
          <w:b/>
          <w:spacing w:val="50"/>
          <w:szCs w:val="21"/>
        </w:rPr>
        <w:t>备案号：</w:t>
      </w:r>
    </w:p>
    <w:p w14:paraId="2BE3C179">
      <w:pPr>
        <w:spacing w:before="156" w:after="312"/>
        <w:ind w:firstLine="1887"/>
        <w:jc w:val="right"/>
        <w:rPr>
          <w:rFonts w:ascii="黑体" w:hAnsi="黑体" w:eastAsia="黑体" w:cs="Times New Roman"/>
          <w:b/>
          <w:spacing w:val="50"/>
          <w:sz w:val="84"/>
          <w:szCs w:val="84"/>
        </w:rPr>
      </w:pPr>
      <w:r>
        <w:rPr>
          <w:rFonts w:ascii="黑体" w:hAnsi="黑体" w:eastAsia="黑体" w:cs="Times New Roman"/>
          <w:b/>
          <w:spacing w:val="50"/>
          <w:sz w:val="84"/>
          <w:szCs w:val="84"/>
        </w:rPr>
        <w:t xml:space="preserve">DB </w:t>
      </w:r>
      <w:r>
        <w:rPr>
          <w:rFonts w:eastAsia="黑体" w:cs="Times New Roman"/>
          <w:sz w:val="84"/>
          <w:szCs w:val="84"/>
        </w:rPr>
        <w:t>××</w:t>
      </w:r>
    </w:p>
    <w:p w14:paraId="5B820756">
      <w:pPr>
        <w:ind w:firstLine="0" w:firstLineChars="0"/>
        <w:jc w:val="center"/>
        <w:rPr>
          <w:rFonts w:eastAsia="黑体" w:cs="Times New Roman"/>
          <w:bCs/>
          <w:spacing w:val="50"/>
          <w:sz w:val="44"/>
        </w:rPr>
      </w:pPr>
      <w:r>
        <w:rPr>
          <w:rFonts w:eastAsia="黑体" w:cs="Times New Roman"/>
          <w:bCs/>
          <w:spacing w:val="275"/>
          <w:kern w:val="0"/>
          <w:sz w:val="44"/>
          <w:fitText w:val="8360" w:id="-659809536"/>
        </w:rPr>
        <w:t>西藏自治区地方标</w:t>
      </w:r>
      <w:r>
        <w:rPr>
          <w:rFonts w:eastAsia="黑体" w:cs="Times New Roman"/>
          <w:bCs/>
          <w:spacing w:val="0"/>
          <w:kern w:val="0"/>
          <w:sz w:val="44"/>
          <w:fitText w:val="8360" w:id="-659809536"/>
        </w:rPr>
        <w:t>准</w:t>
      </w:r>
    </w:p>
    <w:tbl>
      <w:tblPr>
        <w:tblStyle w:val="28"/>
        <w:tblW w:w="8364" w:type="dxa"/>
        <w:tblInd w:w="0" w:type="dxa"/>
        <w:tblLayout w:type="fixed"/>
        <w:tblCellMar>
          <w:top w:w="0" w:type="dxa"/>
          <w:left w:w="0" w:type="dxa"/>
          <w:bottom w:w="0" w:type="dxa"/>
          <w:right w:w="0" w:type="dxa"/>
        </w:tblCellMar>
      </w:tblPr>
      <w:tblGrid>
        <w:gridCol w:w="8364"/>
      </w:tblGrid>
      <w:tr w14:paraId="59664085">
        <w:tblPrEx>
          <w:tblCellMar>
            <w:top w:w="0" w:type="dxa"/>
            <w:left w:w="0" w:type="dxa"/>
            <w:bottom w:w="0" w:type="dxa"/>
            <w:right w:w="0" w:type="dxa"/>
          </w:tblCellMar>
        </w:tblPrEx>
        <w:trPr>
          <w:cantSplit/>
          <w:trHeight w:val="702" w:hRule="atLeast"/>
        </w:trPr>
        <w:tc>
          <w:tcPr>
            <w:tcW w:w="8364" w:type="dxa"/>
            <w:tcMar>
              <w:right w:w="283" w:type="dxa"/>
            </w:tcMar>
            <w:vAlign w:val="bottom"/>
          </w:tcPr>
          <w:p w14:paraId="266059EB">
            <w:pPr>
              <w:wordWrap w:val="0"/>
              <w:spacing w:before="156" w:after="312" w:line="440" w:lineRule="exact"/>
              <w:ind w:firstLine="560"/>
              <w:jc w:val="right"/>
              <w:rPr>
                <w:rFonts w:cs="Times New Roman"/>
              </w:rPr>
            </w:pPr>
            <w:r>
              <w:rPr>
                <w:rFonts w:eastAsia="黑体" w:cs="Times New Roman"/>
                <w:sz w:val="28"/>
              </w:rPr>
              <mc:AlternateContent>
                <mc:Choice Requires="wps">
                  <w:drawing>
                    <wp:anchor distT="0" distB="0" distL="114300" distR="114300" simplePos="0" relativeHeight="251659264" behindDoc="0" locked="0" layoutInCell="1" allowOverlap="1">
                      <wp:simplePos x="0" y="0"/>
                      <wp:positionH relativeFrom="column">
                        <wp:posOffset>8890</wp:posOffset>
                      </wp:positionH>
                      <wp:positionV relativeFrom="paragraph">
                        <wp:posOffset>431165</wp:posOffset>
                      </wp:positionV>
                      <wp:extent cx="5248910" cy="0"/>
                      <wp:effectExtent l="0" t="0" r="28575" b="19050"/>
                      <wp:wrapNone/>
                      <wp:docPr id="8" name="直接连接符 8"/>
                      <wp:cNvGraphicFramePr/>
                      <a:graphic xmlns:a="http://schemas.openxmlformats.org/drawingml/2006/main">
                        <a:graphicData uri="http://schemas.microsoft.com/office/word/2010/wordprocessingShape">
                          <wps:wsp>
                            <wps:cNvCnPr/>
                            <wps:spPr>
                              <a:xfrm>
                                <a:off x="0" y="0"/>
                                <a:ext cx="524889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7pt;margin-top:33.95pt;height:0pt;width:413.3pt;z-index:251659264;mso-width-relative:page;mso-height-relative:page;" filled="f" stroked="t" coordsize="21600,21600" o:gfxdata="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3s5w1NQAAAAHAQAADwAAAAAAAAABACAA&#10;AAAiAAAAZHJzL2Rvd25yZXYueG1sUEsBAhQAFAAAAAgAh07iQH1n8DbYAQAAmgMAAA4AAAAAAAAA&#10;AQAgAAAAIwEAAGRycy9lMm9Eb2MueG1sUEsFBgAAAAAGAAYAWQEAAG0FAAAAAA==&#10;">
                      <v:fill on="f" focussize="0,0"/>
                      <v:stroke color="#000000 [3213]" joinstyle="round"/>
                      <v:imagedata o:title=""/>
                      <o:lock v:ext="edit" aspectratio="f"/>
                    </v:line>
                  </w:pict>
                </mc:Fallback>
              </mc:AlternateContent>
            </w:r>
            <w:r>
              <w:rPr>
                <w:rFonts w:eastAsia="黑体" w:cs="Times New Roman"/>
                <w:sz w:val="28"/>
              </w:rPr>
              <w:t>DB ××—××××</w:t>
            </w:r>
          </w:p>
        </w:tc>
      </w:tr>
    </w:tbl>
    <w:p w14:paraId="42C61857">
      <w:pPr>
        <w:spacing w:after="312" w:afterLines="100"/>
        <w:ind w:firstLine="880"/>
        <w:jc w:val="center"/>
        <w:rPr>
          <w:rFonts w:eastAsia="黑体" w:cs="Times New Roman"/>
          <w:sz w:val="44"/>
          <w:szCs w:val="44"/>
          <w:lang w:val="en-IE"/>
        </w:rPr>
      </w:pPr>
    </w:p>
    <w:p w14:paraId="34976467">
      <w:pPr>
        <w:spacing w:before="156" w:beforeLines="50" w:after="312" w:line="420" w:lineRule="exact"/>
        <w:ind w:firstLine="881"/>
        <w:jc w:val="center"/>
        <w:rPr>
          <w:rFonts w:eastAsia="华文中宋"/>
          <w:b/>
          <w:snapToGrid w:val="0"/>
          <w:kern w:val="0"/>
          <w:sz w:val="44"/>
          <w:szCs w:val="32"/>
        </w:rPr>
      </w:pPr>
    </w:p>
    <w:p w14:paraId="44A09C45">
      <w:pPr>
        <w:spacing w:before="156" w:beforeLines="50" w:after="312" w:line="420" w:lineRule="exact"/>
        <w:ind w:firstLine="0" w:firstLineChars="0"/>
        <w:jc w:val="center"/>
        <w:rPr>
          <w:rFonts w:eastAsia="华文中宋"/>
          <w:b/>
          <w:snapToGrid w:val="0"/>
          <w:kern w:val="0"/>
          <w:sz w:val="44"/>
          <w:szCs w:val="32"/>
        </w:rPr>
      </w:pPr>
      <w:r>
        <w:rPr>
          <w:rFonts w:hint="eastAsia" w:eastAsia="华文中宋"/>
          <w:b/>
          <w:snapToGrid w:val="0"/>
          <w:kern w:val="0"/>
          <w:sz w:val="44"/>
          <w:szCs w:val="32"/>
        </w:rPr>
        <w:t>高延性混凝土加固技术规程</w:t>
      </w:r>
    </w:p>
    <w:p w14:paraId="3D495022">
      <w:pPr>
        <w:pStyle w:val="5"/>
        <w:ind w:firstLine="0" w:firstLineChars="0"/>
        <w:jc w:val="center"/>
      </w:pPr>
      <w:r>
        <w:rPr>
          <w:rFonts w:hint="eastAsia"/>
        </w:rPr>
        <w:t>（征求意见稿）</w:t>
      </w:r>
    </w:p>
    <w:p w14:paraId="3BC6502E">
      <w:pPr>
        <w:spacing w:after="312"/>
        <w:ind w:firstLine="0" w:firstLineChars="0"/>
        <w:jc w:val="center"/>
        <w:rPr>
          <w:rFonts w:eastAsia="宋体" w:cs="Times New Roman"/>
          <w:sz w:val="32"/>
          <w:szCs w:val="32"/>
        </w:rPr>
      </w:pPr>
    </w:p>
    <w:p w14:paraId="662755D3">
      <w:pPr>
        <w:spacing w:after="312"/>
        <w:ind w:firstLine="0" w:firstLineChars="0"/>
        <w:jc w:val="center"/>
      </w:pPr>
    </w:p>
    <w:p w14:paraId="41ED1814">
      <w:pPr>
        <w:pStyle w:val="14"/>
        <w:spacing w:before="156" w:after="312" w:line="360" w:lineRule="auto"/>
        <w:ind w:firstLine="0" w:firstLineChars="0"/>
        <w:rPr>
          <w:rFonts w:ascii="Times New Roman" w:hAnsi="Times New Roman" w:eastAsia="黑体"/>
          <w:sz w:val="36"/>
          <w:szCs w:val="36"/>
        </w:rPr>
      </w:pPr>
    </w:p>
    <w:p w14:paraId="3FC189E9">
      <w:pPr>
        <w:pStyle w:val="14"/>
        <w:spacing w:before="156" w:after="312" w:line="360" w:lineRule="auto"/>
        <w:ind w:firstLine="0" w:firstLineChars="0"/>
        <w:rPr>
          <w:rFonts w:ascii="Times New Roman" w:hAnsi="Times New Roman" w:eastAsia="黑体"/>
          <w:sz w:val="36"/>
          <w:szCs w:val="36"/>
        </w:rPr>
      </w:pPr>
    </w:p>
    <w:p w14:paraId="7ED496E4">
      <w:pPr>
        <w:pStyle w:val="14"/>
        <w:spacing w:before="156" w:after="312" w:line="360" w:lineRule="auto"/>
        <w:ind w:firstLine="0" w:firstLineChars="0"/>
        <w:rPr>
          <w:rFonts w:ascii="Times New Roman" w:hAnsi="Times New Roman" w:eastAsia="黑体"/>
          <w:sz w:val="36"/>
          <w:szCs w:val="36"/>
        </w:rPr>
      </w:pPr>
    </w:p>
    <w:p w14:paraId="3CADB492">
      <w:pPr>
        <w:pStyle w:val="14"/>
        <w:pBdr>
          <w:bottom w:val="single" w:color="auto" w:sz="6" w:space="0"/>
        </w:pBdr>
        <w:spacing w:after="312"/>
        <w:ind w:firstLine="0" w:firstLineChars="0"/>
        <w:rPr>
          <w:rFonts w:ascii="Times New Roman" w:hAnsi="Times New Roman" w:eastAsia="黑体"/>
          <w:b/>
          <w:sz w:val="28"/>
        </w:rPr>
      </w:pPr>
      <w:r>
        <w:rPr>
          <w:rFonts w:ascii="Times New Roman" w:hAnsi="Times New Roman" w:eastAsia="黑体"/>
          <w:sz w:val="28"/>
          <w:szCs w:val="28"/>
        </w:rPr>
        <w:t>20××－××－××发布                         20××－××－××实施</w:t>
      </w:r>
    </w:p>
    <w:p w14:paraId="756AABEC">
      <w:pPr>
        <w:pStyle w:val="14"/>
        <w:snapToGrid w:val="0"/>
        <w:spacing w:before="156"/>
        <w:jc w:val="center"/>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西藏自治区</w:t>
      </w:r>
      <w:r>
        <w:rPr>
          <w:rFonts w:hint="eastAsia" w:ascii="Times New Roman" w:hAnsi="Times New Roman" w:eastAsia="黑体" w:cs="Times New Roman"/>
          <w:color w:val="auto"/>
          <w:sz w:val="28"/>
          <w:szCs w:val="28"/>
          <w:lang w:val="en-US" w:eastAsia="zh-CN"/>
        </w:rPr>
        <w:t>市场监督管理</w:t>
      </w:r>
      <w:r>
        <w:rPr>
          <w:rFonts w:hint="default" w:ascii="Times New Roman" w:hAnsi="Times New Roman" w:eastAsia="黑体" w:cs="Times New Roman"/>
          <w:color w:val="auto"/>
          <w:sz w:val="28"/>
          <w:szCs w:val="28"/>
        </w:rPr>
        <w:t>局</w:t>
      </w:r>
    </w:p>
    <w:p w14:paraId="594C9681">
      <w:pPr>
        <w:pStyle w:val="14"/>
        <w:spacing w:before="156" w:after="312"/>
        <w:ind w:firstLine="720"/>
        <w:jc w:val="center"/>
        <w:rPr>
          <w:rFonts w:ascii="Times New Roman" w:hAnsi="Times New Roman"/>
          <w:sz w:val="32"/>
          <w:szCs w:val="32"/>
        </w:rPr>
      </w:pPr>
      <w:r>
        <w:rPr>
          <w:rFonts w:hint="eastAsia" w:ascii="Times New Roman" w:hAnsi="Times New Roman" w:eastAsia="黑体" w:cs="Times New Roman"/>
          <w:color w:val="auto"/>
          <w:sz w:val="28"/>
          <w:szCs w:val="28"/>
          <w:highlight w:val="none"/>
          <w:lang w:val="en-US" w:eastAsia="zh-CN"/>
        </w:rPr>
        <w:t xml:space="preserve">            </w:t>
      </w:r>
      <w:r>
        <w:rPr>
          <w:rFonts w:hint="eastAsia" w:ascii="Times New Roman" w:hAnsi="Times New Roman" w:eastAsia="黑体" w:cs="Times New Roman"/>
          <w:color w:val="auto"/>
          <w:sz w:val="28"/>
          <w:szCs w:val="28"/>
          <w:highlight w:val="none"/>
          <w:lang w:eastAsia="zh-CN"/>
        </w:rPr>
        <w:t>西藏自治区住房和城乡建设厅</w:t>
      </w:r>
      <w:r>
        <w:rPr>
          <w:rFonts w:hint="default" w:ascii="Times New Roman" w:hAnsi="Times New Roman" w:eastAsia="黑体" w:cs="Times New Roman"/>
          <w:color w:val="auto"/>
          <w:sz w:val="28"/>
          <w:szCs w:val="28"/>
          <w:highlight w:val="none"/>
        </w:rPr>
        <w:t>　</w:t>
      </w:r>
      <w:r>
        <w:rPr>
          <w:rFonts w:hint="eastAsia" w:ascii="Times New Roman" w:hAnsi="Times New Roman" w:eastAsia="黑体" w:cs="Times New Roman"/>
          <w:color w:val="auto"/>
          <w:sz w:val="28"/>
          <w:szCs w:val="28"/>
          <w:highlight w:val="none"/>
          <w:lang w:eastAsia="zh-CN"/>
        </w:rPr>
        <w:t>联合</w:t>
      </w:r>
      <w:r>
        <w:rPr>
          <w:rFonts w:hint="default" w:ascii="Times New Roman" w:hAnsi="Times New Roman" w:eastAsia="黑体" w:cs="Times New Roman"/>
          <w:color w:val="auto"/>
          <w:sz w:val="28"/>
          <w:szCs w:val="28"/>
          <w:highlight w:val="none"/>
        </w:rPr>
        <w:t>发布</w:t>
      </w:r>
    </w:p>
    <w:p w14:paraId="4B4FBF30">
      <w:pPr>
        <w:pStyle w:val="6"/>
        <w:tabs>
          <w:tab w:val="left" w:pos="1114"/>
        </w:tabs>
        <w:spacing w:after="156" w:line="300" w:lineRule="auto"/>
        <w:ind w:firstLine="482"/>
        <w:rPr>
          <w:rFonts w:ascii="Times New Roman" w:hAnsi="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titlePg/>
          <w:docGrid w:type="lines" w:linePitch="312" w:charSpace="0"/>
        </w:sectPr>
      </w:pPr>
    </w:p>
    <w:p w14:paraId="4D6671DF">
      <w:pPr>
        <w:spacing w:before="312" w:beforeLines="100" w:after="312" w:afterLines="100"/>
        <w:ind w:firstLine="0" w:firstLineChars="0"/>
        <w:jc w:val="center"/>
        <w:rPr>
          <w:b/>
          <w:sz w:val="28"/>
          <w:szCs w:val="28"/>
        </w:rPr>
      </w:pPr>
      <w:r>
        <w:rPr>
          <w:rFonts w:hint="eastAsia"/>
          <w:b/>
          <w:sz w:val="28"/>
          <w:szCs w:val="28"/>
        </w:rPr>
        <w:t>前 言</w:t>
      </w:r>
    </w:p>
    <w:p w14:paraId="6E2B6541">
      <w:pPr>
        <w:spacing w:after="312"/>
        <w:ind w:firstLine="420"/>
      </w:pPr>
      <w:r>
        <w:t>为推动西藏自治区</w:t>
      </w:r>
      <w:r>
        <w:rPr>
          <w:rFonts w:hint="eastAsia"/>
        </w:rPr>
        <w:t>高延性混凝土加固技术的</w:t>
      </w:r>
      <w:r>
        <w:t>实施，提升工程质量，促进行业的健康发展，</w:t>
      </w:r>
      <w:r>
        <w:rPr>
          <w:rFonts w:hint="eastAsia"/>
        </w:rPr>
        <w:t>根据西藏自治区市场监督管理局《关于下达2024年第二批推荐性地方标准制（修）订计划项目的通知》的要求，规程编制组经深入调查研究，认真总结实践经验，结合西藏自治区的实际情况，参考国内有关标准，在广泛征求意见的基础上，制定本规程</w:t>
      </w:r>
      <w:r>
        <w:t>（以下简称本</w:t>
      </w:r>
      <w:r>
        <w:rPr>
          <w:rFonts w:hint="eastAsia"/>
        </w:rPr>
        <w:t>规程</w:t>
      </w:r>
      <w:r>
        <w:t>）。</w:t>
      </w:r>
    </w:p>
    <w:p w14:paraId="11D86860">
      <w:pPr>
        <w:spacing w:after="312"/>
        <w:ind w:firstLine="420"/>
      </w:pPr>
      <w:bookmarkStart w:id="0" w:name="_Hlk61619029"/>
      <w:r>
        <w:rPr>
          <w:rFonts w:hint="eastAsia"/>
        </w:rPr>
        <w:t>本规程共分为8章和3个附录，主要内容包括：总则，术语和符号，基本规定，材料，砌体构件加固设计，混凝土构件加固设计，施工，质量验收和附录等。</w:t>
      </w:r>
      <w:r>
        <w:t>本规程由西藏自治区住房和城乡建设厅负责管理，由中国城市建设研究院负责技术内容的解释。</w:t>
      </w:r>
      <w:bookmarkEnd w:id="0"/>
    </w:p>
    <w:p w14:paraId="3628E4CC">
      <w:pPr>
        <w:spacing w:after="312"/>
        <w:ind w:firstLine="420"/>
      </w:pPr>
      <w:r>
        <w:t>各单位在执行使用过</w:t>
      </w:r>
      <w:r>
        <w:rPr>
          <w:rFonts w:hint="eastAsia"/>
        </w:rPr>
        <w:t>程中</w:t>
      </w:r>
      <w:r>
        <w:t>如有意见或建议，请寄送至</w:t>
      </w:r>
      <w:r>
        <w:rPr>
          <w:rFonts w:hint="eastAsia"/>
        </w:rPr>
        <w:t>西安建筑科技大学</w:t>
      </w:r>
      <w:r>
        <w:t>（地址：</w:t>
      </w:r>
      <w:r>
        <w:rPr>
          <w:rFonts w:hint="eastAsia"/>
        </w:rPr>
        <w:t>陕西省西安市碑林区雁塔路13号</w:t>
      </w:r>
      <w:r>
        <w:t>；邮政编码：</w:t>
      </w:r>
      <w:r>
        <w:rPr>
          <w:rFonts w:hint="eastAsia"/>
        </w:rPr>
        <w:t>710055</w:t>
      </w:r>
      <w:r>
        <w:t>），以供今后修订时参考。</w:t>
      </w:r>
    </w:p>
    <w:p w14:paraId="59DE293E">
      <w:pPr>
        <w:spacing w:after="312"/>
        <w:ind w:firstLine="420"/>
      </w:pPr>
      <w:r>
        <w:t>本规程第一次发布。</w:t>
      </w:r>
    </w:p>
    <w:p w14:paraId="3AE12623">
      <w:pPr>
        <w:spacing w:after="312"/>
        <w:ind w:firstLine="420"/>
        <w:rPr>
          <w:rFonts w:eastAsia="宋体" w:cs="Times New Roman"/>
          <w:szCs w:val="21"/>
        </w:rPr>
      </w:pPr>
      <w:r>
        <w:rPr>
          <w:rFonts w:eastAsia="宋体" w:cs="Times New Roman"/>
          <w:szCs w:val="21"/>
        </w:rPr>
        <w:t>本规程主编单位：</w:t>
      </w:r>
      <w:r>
        <w:rPr>
          <w:rFonts w:hint="eastAsia" w:eastAsia="宋体" w:cs="Times New Roman"/>
          <w:szCs w:val="21"/>
        </w:rPr>
        <w:t>西藏自治区建筑勘察设计院</w:t>
      </w:r>
    </w:p>
    <w:p w14:paraId="6A80D4CB">
      <w:pPr>
        <w:spacing w:after="312"/>
        <w:ind w:firstLine="2100" w:firstLineChars="1000"/>
        <w:rPr>
          <w:rFonts w:hint="eastAsia" w:eastAsia="宋体" w:cs="Times New Roman"/>
          <w:szCs w:val="21"/>
        </w:rPr>
      </w:pPr>
      <w:r>
        <w:rPr>
          <w:rFonts w:hint="eastAsia" w:eastAsia="宋体" w:cs="Times New Roman"/>
          <w:szCs w:val="21"/>
        </w:rPr>
        <w:t>西安建筑科技大学</w:t>
      </w:r>
    </w:p>
    <w:p w14:paraId="1A218BEC">
      <w:pPr>
        <w:spacing w:after="312"/>
        <w:ind w:firstLine="2100" w:firstLineChars="1000"/>
        <w:rPr>
          <w:rFonts w:hint="default" w:eastAsia="宋体" w:cs="Times New Roman"/>
          <w:szCs w:val="21"/>
          <w:lang w:val="en-US" w:eastAsia="zh-CN"/>
        </w:rPr>
      </w:pPr>
      <w:r>
        <w:rPr>
          <w:rFonts w:hint="eastAsia" w:eastAsia="宋体" w:cs="Times New Roman"/>
          <w:szCs w:val="21"/>
          <w:lang w:val="en-US" w:eastAsia="zh-CN"/>
        </w:rPr>
        <w:t>西藏自治区低碳建筑技术创新中心</w:t>
      </w:r>
      <w:bookmarkStart w:id="1706" w:name="_GoBack"/>
      <w:bookmarkEnd w:id="1706"/>
    </w:p>
    <w:p w14:paraId="6B7065E8">
      <w:pPr>
        <w:spacing w:after="312"/>
        <w:ind w:firstLine="420"/>
        <w:rPr>
          <w:rFonts w:eastAsia="宋体" w:cs="Times New Roman"/>
          <w:szCs w:val="21"/>
        </w:rPr>
      </w:pPr>
      <w:r>
        <w:rPr>
          <w:rFonts w:eastAsia="宋体" w:cs="Times New Roman"/>
          <w:szCs w:val="21"/>
        </w:rPr>
        <w:t>本规程</w:t>
      </w:r>
      <w:r>
        <w:rPr>
          <w:rFonts w:hint="eastAsia" w:eastAsia="宋体" w:cs="Times New Roman"/>
          <w:szCs w:val="21"/>
        </w:rPr>
        <w:t>参</w:t>
      </w:r>
      <w:r>
        <w:rPr>
          <w:rFonts w:eastAsia="宋体" w:cs="Times New Roman"/>
          <w:szCs w:val="21"/>
        </w:rPr>
        <w:t>编单位：</w:t>
      </w:r>
      <w:r>
        <w:rPr>
          <w:rFonts w:hint="eastAsia" w:eastAsia="宋体" w:cs="Times New Roman"/>
          <w:szCs w:val="21"/>
        </w:rPr>
        <w:t>西安五和建筑科技研究院有限公司</w:t>
      </w:r>
    </w:p>
    <w:p w14:paraId="52026047">
      <w:pPr>
        <w:spacing w:after="312"/>
        <w:ind w:firstLine="2100" w:firstLineChars="1000"/>
        <w:rPr>
          <w:rFonts w:eastAsia="宋体" w:cs="Times New Roman"/>
          <w:szCs w:val="21"/>
        </w:rPr>
      </w:pPr>
      <w:r>
        <w:rPr>
          <w:rFonts w:hint="eastAsia" w:eastAsia="宋体" w:cs="Times New Roman"/>
          <w:szCs w:val="21"/>
        </w:rPr>
        <w:t>西安五和新材料科技集团股份有限公司</w:t>
      </w:r>
    </w:p>
    <w:p w14:paraId="40346C51">
      <w:pPr>
        <w:pStyle w:val="27"/>
        <w:spacing w:after="312"/>
        <w:ind w:firstLine="1680" w:firstLineChars="800"/>
      </w:pPr>
      <w:r>
        <w:rPr>
          <w:rFonts w:hint="eastAsia"/>
        </w:rPr>
        <w:t>山东五和建筑科技有限公司。。。</w:t>
      </w:r>
    </w:p>
    <w:p w14:paraId="362C482D">
      <w:pPr>
        <w:spacing w:after="312"/>
        <w:ind w:left="210" w:leftChars="100" w:firstLine="210" w:firstLineChars="100"/>
        <w:rPr>
          <w:rFonts w:cs="Times New Roman"/>
          <w:szCs w:val="21"/>
        </w:rPr>
      </w:pPr>
      <w:r>
        <w:rPr>
          <w:rFonts w:eastAsia="宋体" w:cs="Times New Roman"/>
          <w:szCs w:val="21"/>
        </w:rPr>
        <w:t>本规程主要起草人员：</w:t>
      </w:r>
    </w:p>
    <w:p w14:paraId="5BD9BDA3">
      <w:pPr>
        <w:spacing w:after="312"/>
        <w:ind w:left="210" w:leftChars="100" w:firstLine="2310" w:firstLineChars="1100"/>
        <w:rPr>
          <w:rFonts w:cs="Times New Roman"/>
          <w:szCs w:val="21"/>
        </w:rPr>
      </w:pPr>
    </w:p>
    <w:p w14:paraId="4B4D0782">
      <w:pPr>
        <w:spacing w:after="312"/>
        <w:ind w:firstLine="420"/>
        <w:rPr>
          <w:rFonts w:eastAsia="宋体" w:cs="Times New Roman"/>
          <w:szCs w:val="21"/>
        </w:rPr>
      </w:pPr>
      <w:r>
        <w:rPr>
          <w:rFonts w:eastAsia="宋体" w:cs="Times New Roman"/>
          <w:szCs w:val="21"/>
        </w:rPr>
        <w:t>本规程主要审查人员：</w:t>
      </w:r>
    </w:p>
    <w:p w14:paraId="6525D247">
      <w:pPr>
        <w:spacing w:after="312"/>
        <w:ind w:firstLine="480"/>
        <w:rPr>
          <w:rFonts w:ascii="楷体" w:hAnsi="楷体" w:eastAsia="楷体" w:cs="楷体"/>
          <w:sz w:val="24"/>
        </w:rPr>
      </w:pPr>
    </w:p>
    <w:p w14:paraId="4471FEDB">
      <w:pPr>
        <w:pStyle w:val="10"/>
        <w:spacing w:after="156"/>
        <w:ind w:firstLine="800"/>
        <w:rPr>
          <w:rFonts w:hAnsi="Calibri" w:eastAsia="仿宋_GB2312" w:cs="Times New Roman"/>
          <w:snapToGrid w:val="0"/>
          <w:kern w:val="0"/>
          <w:sz w:val="40"/>
        </w:rPr>
      </w:pPr>
      <w:r>
        <w:rPr>
          <w:rFonts w:hAnsi="Calibri" w:eastAsia="仿宋_GB2312" w:cs="Times New Roman"/>
          <w:snapToGrid w:val="0"/>
          <w:kern w:val="0"/>
          <w:sz w:val="40"/>
        </w:rPr>
        <w:br w:type="page"/>
      </w:r>
    </w:p>
    <w:p w14:paraId="4D7E4E51">
      <w:pPr>
        <w:spacing w:before="312" w:beforeLines="100" w:after="312" w:afterLines="100"/>
        <w:ind w:firstLine="0" w:firstLineChars="0"/>
        <w:jc w:val="center"/>
        <w:rPr>
          <w:rFonts w:hAnsi="Calibri" w:eastAsia="仿宋_GB2312" w:cs="Times New Roman"/>
          <w:snapToGrid w:val="0"/>
          <w:kern w:val="0"/>
          <w:sz w:val="40"/>
        </w:rPr>
      </w:pPr>
      <w:r>
        <w:rPr>
          <w:rFonts w:hint="eastAsia"/>
          <w:b/>
          <w:sz w:val="28"/>
          <w:szCs w:val="28"/>
        </w:rPr>
        <w:t>目  次</w:t>
      </w:r>
    </w:p>
    <w:p w14:paraId="6E039A61">
      <w:pPr>
        <w:pStyle w:val="20"/>
        <w:rPr>
          <w:rFonts w:asciiTheme="minorHAnsi" w:hAnsiTheme="minorHAnsi" w:eastAsiaTheme="minorEastAsia" w:cstheme="minorBidi"/>
          <w:sz w:val="22"/>
          <w14:ligatures w14:val="standardContextual"/>
        </w:rPr>
      </w:pPr>
      <w:r>
        <w:rPr>
          <w:bCs/>
          <w:snapToGrid w:val="0"/>
          <w:kern w:val="0"/>
        </w:rPr>
        <w:fldChar w:fldCharType="begin"/>
      </w:r>
      <w:r>
        <w:rPr>
          <w:bCs/>
          <w:snapToGrid w:val="0"/>
          <w:kern w:val="0"/>
        </w:rPr>
        <w:instrText xml:space="preserve"> TOC \o "1-1" \h \z \t "标题 2,2,附录一级无,3,附录章标题,2" </w:instrText>
      </w:r>
      <w:r>
        <w:rPr>
          <w:bCs/>
          <w:snapToGrid w:val="0"/>
          <w:kern w:val="0"/>
        </w:rPr>
        <w:fldChar w:fldCharType="separate"/>
      </w:r>
      <w:r>
        <w:fldChar w:fldCharType="begin"/>
      </w:r>
      <w:r>
        <w:instrText xml:space="preserve"> HYPERLINK \l "_Toc207111700" </w:instrText>
      </w:r>
      <w:r>
        <w:fldChar w:fldCharType="separate"/>
      </w:r>
      <w:r>
        <w:rPr>
          <w:rStyle w:val="33"/>
          <w:snapToGrid w:val="0"/>
          <w:color w:val="auto"/>
        </w:rPr>
        <w:t>1  总  则</w:t>
      </w:r>
      <w:r>
        <w:tab/>
      </w:r>
      <w:r>
        <w:fldChar w:fldCharType="begin"/>
      </w:r>
      <w:r>
        <w:instrText xml:space="preserve"> PAGEREF _Toc207111700 \h </w:instrText>
      </w:r>
      <w:r>
        <w:fldChar w:fldCharType="separate"/>
      </w:r>
      <w:r>
        <w:t>1</w:t>
      </w:r>
      <w:r>
        <w:fldChar w:fldCharType="end"/>
      </w:r>
      <w:r>
        <w:fldChar w:fldCharType="end"/>
      </w:r>
    </w:p>
    <w:p w14:paraId="1B4662F1">
      <w:pPr>
        <w:pStyle w:val="20"/>
        <w:rPr>
          <w:rFonts w:asciiTheme="minorHAnsi" w:hAnsiTheme="minorHAnsi" w:eastAsiaTheme="minorEastAsia" w:cstheme="minorBidi"/>
          <w:sz w:val="22"/>
          <w14:ligatures w14:val="standardContextual"/>
        </w:rPr>
      </w:pPr>
      <w:r>
        <w:fldChar w:fldCharType="begin"/>
      </w:r>
      <w:r>
        <w:instrText xml:space="preserve"> HYPERLINK \l "_Toc207111701" </w:instrText>
      </w:r>
      <w:r>
        <w:fldChar w:fldCharType="separate"/>
      </w:r>
      <w:r>
        <w:rPr>
          <w:rStyle w:val="33"/>
          <w:snapToGrid w:val="0"/>
          <w:color w:val="auto"/>
        </w:rPr>
        <w:t>2  术语和符号</w:t>
      </w:r>
      <w:r>
        <w:tab/>
      </w:r>
      <w:r>
        <w:fldChar w:fldCharType="begin"/>
      </w:r>
      <w:r>
        <w:instrText xml:space="preserve"> PAGEREF _Toc207111701 \h </w:instrText>
      </w:r>
      <w:r>
        <w:fldChar w:fldCharType="separate"/>
      </w:r>
      <w:r>
        <w:t>2</w:t>
      </w:r>
      <w:r>
        <w:fldChar w:fldCharType="end"/>
      </w:r>
      <w:r>
        <w:fldChar w:fldCharType="end"/>
      </w:r>
    </w:p>
    <w:p w14:paraId="764E7A02">
      <w:pPr>
        <w:pStyle w:val="23"/>
        <w:rPr>
          <w:rFonts w:asciiTheme="minorHAnsi" w:hAnsiTheme="minorHAnsi"/>
          <w:sz w:val="22"/>
          <w14:ligatures w14:val="standardContextual"/>
        </w:rPr>
      </w:pPr>
      <w:r>
        <w:fldChar w:fldCharType="begin"/>
      </w:r>
      <w:r>
        <w:instrText xml:space="preserve"> HYPERLINK \l "_Toc207111702" </w:instrText>
      </w:r>
      <w:r>
        <w:fldChar w:fldCharType="separate"/>
      </w:r>
      <w:r>
        <w:rPr>
          <w:rStyle w:val="33"/>
          <w:rFonts w:cs="Times New Roman"/>
          <w:color w:val="auto"/>
        </w:rPr>
        <w:t>2.1</w:t>
      </w:r>
      <w:r>
        <w:rPr>
          <w:rStyle w:val="33"/>
          <w:color w:val="auto"/>
        </w:rPr>
        <w:t xml:space="preserve">  </w:t>
      </w:r>
      <w:r>
        <w:rPr>
          <w:rStyle w:val="33"/>
          <w:bCs/>
          <w:color w:val="auto"/>
        </w:rPr>
        <w:t>术 语</w:t>
      </w:r>
      <w:r>
        <w:tab/>
      </w:r>
      <w:r>
        <w:fldChar w:fldCharType="begin"/>
      </w:r>
      <w:r>
        <w:instrText xml:space="preserve"> PAGEREF _Toc207111702 \h </w:instrText>
      </w:r>
      <w:r>
        <w:fldChar w:fldCharType="separate"/>
      </w:r>
      <w:r>
        <w:t>2</w:t>
      </w:r>
      <w:r>
        <w:fldChar w:fldCharType="end"/>
      </w:r>
      <w:r>
        <w:fldChar w:fldCharType="end"/>
      </w:r>
    </w:p>
    <w:p w14:paraId="3BABA35A">
      <w:pPr>
        <w:pStyle w:val="23"/>
        <w:rPr>
          <w:rFonts w:asciiTheme="minorHAnsi" w:hAnsiTheme="minorHAnsi"/>
          <w:sz w:val="22"/>
          <w14:ligatures w14:val="standardContextual"/>
        </w:rPr>
      </w:pPr>
      <w:r>
        <w:fldChar w:fldCharType="begin"/>
      </w:r>
      <w:r>
        <w:instrText xml:space="preserve"> HYPERLINK \l "_Toc207111703" </w:instrText>
      </w:r>
      <w:r>
        <w:fldChar w:fldCharType="separate"/>
      </w:r>
      <w:r>
        <w:rPr>
          <w:rStyle w:val="33"/>
          <w:rFonts w:cs="Times New Roman"/>
          <w:color w:val="auto"/>
        </w:rPr>
        <w:t>2.2</w:t>
      </w:r>
      <w:r>
        <w:rPr>
          <w:rStyle w:val="33"/>
          <w:color w:val="auto"/>
        </w:rPr>
        <w:t xml:space="preserve">  </w:t>
      </w:r>
      <w:r>
        <w:rPr>
          <w:rStyle w:val="33"/>
          <w:bCs/>
          <w:color w:val="auto"/>
        </w:rPr>
        <w:t>符 号</w:t>
      </w:r>
      <w:r>
        <w:tab/>
      </w:r>
      <w:r>
        <w:fldChar w:fldCharType="begin"/>
      </w:r>
      <w:r>
        <w:instrText xml:space="preserve"> PAGEREF _Toc207111703 \h </w:instrText>
      </w:r>
      <w:r>
        <w:fldChar w:fldCharType="separate"/>
      </w:r>
      <w:r>
        <w:t>3</w:t>
      </w:r>
      <w:r>
        <w:fldChar w:fldCharType="end"/>
      </w:r>
      <w:r>
        <w:fldChar w:fldCharType="end"/>
      </w:r>
    </w:p>
    <w:p w14:paraId="42A67AA7">
      <w:pPr>
        <w:pStyle w:val="20"/>
        <w:rPr>
          <w:rFonts w:asciiTheme="minorHAnsi" w:hAnsiTheme="minorHAnsi" w:eastAsiaTheme="minorEastAsia" w:cstheme="minorBidi"/>
          <w:sz w:val="22"/>
          <w14:ligatures w14:val="standardContextual"/>
        </w:rPr>
      </w:pPr>
      <w:r>
        <w:fldChar w:fldCharType="begin"/>
      </w:r>
      <w:r>
        <w:instrText xml:space="preserve"> HYPERLINK \l "_Toc207111704" </w:instrText>
      </w:r>
      <w:r>
        <w:fldChar w:fldCharType="separate"/>
      </w:r>
      <w:r>
        <w:rPr>
          <w:rStyle w:val="33"/>
          <w:snapToGrid w:val="0"/>
          <w:color w:val="auto"/>
        </w:rPr>
        <w:t>3基本规定</w:t>
      </w:r>
      <w:r>
        <w:tab/>
      </w:r>
      <w:r>
        <w:fldChar w:fldCharType="begin"/>
      </w:r>
      <w:r>
        <w:instrText xml:space="preserve"> PAGEREF _Toc207111704 \h </w:instrText>
      </w:r>
      <w:r>
        <w:fldChar w:fldCharType="separate"/>
      </w:r>
      <w:r>
        <w:t>4</w:t>
      </w:r>
      <w:r>
        <w:fldChar w:fldCharType="end"/>
      </w:r>
      <w:r>
        <w:fldChar w:fldCharType="end"/>
      </w:r>
    </w:p>
    <w:p w14:paraId="07BC3309">
      <w:pPr>
        <w:pStyle w:val="20"/>
        <w:rPr>
          <w:rFonts w:asciiTheme="minorHAnsi" w:hAnsiTheme="minorHAnsi" w:eastAsiaTheme="minorEastAsia" w:cstheme="minorBidi"/>
          <w:sz w:val="22"/>
          <w14:ligatures w14:val="standardContextual"/>
        </w:rPr>
      </w:pPr>
      <w:r>
        <w:fldChar w:fldCharType="begin"/>
      </w:r>
      <w:r>
        <w:instrText xml:space="preserve"> HYPERLINK \l "_Toc207111705" </w:instrText>
      </w:r>
      <w:r>
        <w:fldChar w:fldCharType="separate"/>
      </w:r>
      <w:r>
        <w:rPr>
          <w:rStyle w:val="33"/>
          <w:snapToGrid w:val="0"/>
          <w:color w:val="auto"/>
        </w:rPr>
        <w:t>4  材料</w:t>
      </w:r>
      <w:r>
        <w:tab/>
      </w:r>
      <w:r>
        <w:fldChar w:fldCharType="begin"/>
      </w:r>
      <w:r>
        <w:instrText xml:space="preserve"> PAGEREF _Toc207111705 \h </w:instrText>
      </w:r>
      <w:r>
        <w:fldChar w:fldCharType="separate"/>
      </w:r>
      <w:r>
        <w:t>5</w:t>
      </w:r>
      <w:r>
        <w:fldChar w:fldCharType="end"/>
      </w:r>
      <w:r>
        <w:fldChar w:fldCharType="end"/>
      </w:r>
    </w:p>
    <w:p w14:paraId="59FE95FE">
      <w:pPr>
        <w:pStyle w:val="23"/>
        <w:rPr>
          <w:rFonts w:asciiTheme="minorHAnsi" w:hAnsiTheme="minorHAnsi"/>
          <w:sz w:val="22"/>
          <w14:ligatures w14:val="standardContextual"/>
        </w:rPr>
      </w:pPr>
      <w:r>
        <w:fldChar w:fldCharType="begin"/>
      </w:r>
      <w:r>
        <w:instrText xml:space="preserve"> HYPERLINK \l "_Toc207111706" </w:instrText>
      </w:r>
      <w:r>
        <w:fldChar w:fldCharType="separate"/>
      </w:r>
      <w:r>
        <w:rPr>
          <w:rStyle w:val="33"/>
          <w:color w:val="auto"/>
        </w:rPr>
        <w:t>4.1  原材料</w:t>
      </w:r>
      <w:r>
        <w:tab/>
      </w:r>
      <w:r>
        <w:fldChar w:fldCharType="begin"/>
      </w:r>
      <w:r>
        <w:instrText xml:space="preserve"> PAGEREF _Toc207111706 \h </w:instrText>
      </w:r>
      <w:r>
        <w:fldChar w:fldCharType="separate"/>
      </w:r>
      <w:r>
        <w:t>5</w:t>
      </w:r>
      <w:r>
        <w:fldChar w:fldCharType="end"/>
      </w:r>
      <w:r>
        <w:fldChar w:fldCharType="end"/>
      </w:r>
    </w:p>
    <w:p w14:paraId="16CD142E">
      <w:pPr>
        <w:pStyle w:val="23"/>
        <w:rPr>
          <w:rFonts w:asciiTheme="minorHAnsi" w:hAnsiTheme="minorHAnsi"/>
          <w:sz w:val="22"/>
          <w14:ligatures w14:val="standardContextual"/>
        </w:rPr>
      </w:pPr>
      <w:r>
        <w:fldChar w:fldCharType="begin"/>
      </w:r>
      <w:r>
        <w:instrText xml:space="preserve"> HYPERLINK \l "_Toc207111707" </w:instrText>
      </w:r>
      <w:r>
        <w:fldChar w:fldCharType="separate"/>
      </w:r>
      <w:r>
        <w:rPr>
          <w:rStyle w:val="33"/>
          <w:color w:val="auto"/>
        </w:rPr>
        <w:t>4.2  拌合物性能</w:t>
      </w:r>
      <w:r>
        <w:tab/>
      </w:r>
      <w:r>
        <w:fldChar w:fldCharType="begin"/>
      </w:r>
      <w:r>
        <w:instrText xml:space="preserve"> PAGEREF _Toc207111707 \h </w:instrText>
      </w:r>
      <w:r>
        <w:fldChar w:fldCharType="separate"/>
      </w:r>
      <w:r>
        <w:t>6</w:t>
      </w:r>
      <w:r>
        <w:fldChar w:fldCharType="end"/>
      </w:r>
      <w:r>
        <w:fldChar w:fldCharType="end"/>
      </w:r>
    </w:p>
    <w:p w14:paraId="548BF98F">
      <w:pPr>
        <w:pStyle w:val="23"/>
        <w:rPr>
          <w:rFonts w:asciiTheme="minorHAnsi" w:hAnsiTheme="minorHAnsi"/>
          <w:sz w:val="22"/>
          <w14:ligatures w14:val="standardContextual"/>
        </w:rPr>
      </w:pPr>
      <w:r>
        <w:fldChar w:fldCharType="begin"/>
      </w:r>
      <w:r>
        <w:instrText xml:space="preserve"> HYPERLINK \l "_Toc207111708" </w:instrText>
      </w:r>
      <w:r>
        <w:fldChar w:fldCharType="separate"/>
      </w:r>
      <w:r>
        <w:rPr>
          <w:rStyle w:val="33"/>
          <w:color w:val="auto"/>
        </w:rPr>
        <w:t xml:space="preserve">4.3  </w:t>
      </w:r>
      <w:r>
        <w:rPr>
          <w:rStyle w:val="33"/>
          <w:bCs/>
          <w:color w:val="auto"/>
        </w:rPr>
        <w:t>力学性能</w:t>
      </w:r>
      <w:r>
        <w:tab/>
      </w:r>
      <w:r>
        <w:fldChar w:fldCharType="begin"/>
      </w:r>
      <w:r>
        <w:instrText xml:space="preserve"> PAGEREF _Toc207111708 \h </w:instrText>
      </w:r>
      <w:r>
        <w:fldChar w:fldCharType="separate"/>
      </w:r>
      <w:r>
        <w:t>6</w:t>
      </w:r>
      <w:r>
        <w:fldChar w:fldCharType="end"/>
      </w:r>
      <w:r>
        <w:fldChar w:fldCharType="end"/>
      </w:r>
    </w:p>
    <w:p w14:paraId="18F1BC6B">
      <w:pPr>
        <w:pStyle w:val="23"/>
        <w:rPr>
          <w:rFonts w:asciiTheme="minorHAnsi" w:hAnsiTheme="minorHAnsi"/>
          <w:sz w:val="22"/>
          <w14:ligatures w14:val="standardContextual"/>
        </w:rPr>
      </w:pPr>
      <w:r>
        <w:fldChar w:fldCharType="begin"/>
      </w:r>
      <w:r>
        <w:instrText xml:space="preserve"> HYPERLINK \l "_Toc207111709" </w:instrText>
      </w:r>
      <w:r>
        <w:fldChar w:fldCharType="separate"/>
      </w:r>
      <w:r>
        <w:rPr>
          <w:rStyle w:val="33"/>
          <w:color w:val="auto"/>
        </w:rPr>
        <w:t xml:space="preserve">4.4  </w:t>
      </w:r>
      <w:r>
        <w:rPr>
          <w:rStyle w:val="33"/>
          <w:bCs/>
          <w:color w:val="auto"/>
        </w:rPr>
        <w:t>耐久性能</w:t>
      </w:r>
      <w:r>
        <w:tab/>
      </w:r>
      <w:r>
        <w:fldChar w:fldCharType="begin"/>
      </w:r>
      <w:r>
        <w:instrText xml:space="preserve"> PAGEREF _Toc207111709 \h </w:instrText>
      </w:r>
      <w:r>
        <w:fldChar w:fldCharType="separate"/>
      </w:r>
      <w:r>
        <w:t>7</w:t>
      </w:r>
      <w:r>
        <w:fldChar w:fldCharType="end"/>
      </w:r>
      <w:r>
        <w:fldChar w:fldCharType="end"/>
      </w:r>
    </w:p>
    <w:p w14:paraId="0CD603B4">
      <w:pPr>
        <w:pStyle w:val="20"/>
        <w:rPr>
          <w:rFonts w:asciiTheme="minorHAnsi" w:hAnsiTheme="minorHAnsi" w:eastAsiaTheme="minorEastAsia" w:cstheme="minorBidi"/>
          <w:sz w:val="22"/>
          <w14:ligatures w14:val="standardContextual"/>
        </w:rPr>
      </w:pPr>
      <w:r>
        <w:fldChar w:fldCharType="begin"/>
      </w:r>
      <w:r>
        <w:instrText xml:space="preserve"> HYPERLINK \l "_Toc207111710" </w:instrText>
      </w:r>
      <w:r>
        <w:fldChar w:fldCharType="separate"/>
      </w:r>
      <w:r>
        <w:rPr>
          <w:rStyle w:val="33"/>
          <w:snapToGrid w:val="0"/>
          <w:color w:val="auto"/>
        </w:rPr>
        <w:t>5  砌体构件加固设计</w:t>
      </w:r>
      <w:r>
        <w:tab/>
      </w:r>
      <w:r>
        <w:fldChar w:fldCharType="begin"/>
      </w:r>
      <w:r>
        <w:instrText xml:space="preserve"> PAGEREF _Toc207111710 \h </w:instrText>
      </w:r>
      <w:r>
        <w:fldChar w:fldCharType="separate"/>
      </w:r>
      <w:r>
        <w:t>9</w:t>
      </w:r>
      <w:r>
        <w:fldChar w:fldCharType="end"/>
      </w:r>
      <w:r>
        <w:fldChar w:fldCharType="end"/>
      </w:r>
    </w:p>
    <w:p w14:paraId="0958D807">
      <w:pPr>
        <w:pStyle w:val="23"/>
        <w:rPr>
          <w:rFonts w:asciiTheme="minorHAnsi" w:hAnsiTheme="minorHAnsi"/>
          <w:sz w:val="22"/>
          <w14:ligatures w14:val="standardContextual"/>
        </w:rPr>
      </w:pPr>
      <w:r>
        <w:fldChar w:fldCharType="begin"/>
      </w:r>
      <w:r>
        <w:instrText xml:space="preserve"> HYPERLINK \l "_Toc207111711" </w:instrText>
      </w:r>
      <w:r>
        <w:fldChar w:fldCharType="separate"/>
      </w:r>
      <w:r>
        <w:rPr>
          <w:rStyle w:val="33"/>
          <w:color w:val="auto"/>
        </w:rPr>
        <w:t>5.1  一般规定</w:t>
      </w:r>
      <w:r>
        <w:tab/>
      </w:r>
      <w:r>
        <w:fldChar w:fldCharType="begin"/>
      </w:r>
      <w:r>
        <w:instrText xml:space="preserve"> PAGEREF _Toc207111711 \h </w:instrText>
      </w:r>
      <w:r>
        <w:fldChar w:fldCharType="separate"/>
      </w:r>
      <w:r>
        <w:t>9</w:t>
      </w:r>
      <w:r>
        <w:fldChar w:fldCharType="end"/>
      </w:r>
      <w:r>
        <w:fldChar w:fldCharType="end"/>
      </w:r>
    </w:p>
    <w:p w14:paraId="30642A88">
      <w:pPr>
        <w:pStyle w:val="23"/>
        <w:rPr>
          <w:rFonts w:asciiTheme="minorHAnsi" w:hAnsiTheme="minorHAnsi"/>
          <w:sz w:val="22"/>
          <w14:ligatures w14:val="standardContextual"/>
        </w:rPr>
      </w:pPr>
      <w:r>
        <w:fldChar w:fldCharType="begin"/>
      </w:r>
      <w:r>
        <w:instrText xml:space="preserve"> HYPERLINK \l "_Toc207111712" </w:instrText>
      </w:r>
      <w:r>
        <w:fldChar w:fldCharType="separate"/>
      </w:r>
      <w:r>
        <w:rPr>
          <w:rStyle w:val="33"/>
          <w:color w:val="auto"/>
        </w:rPr>
        <w:t>5.2  砌体抗压加固</w:t>
      </w:r>
      <w:r>
        <w:tab/>
      </w:r>
      <w:r>
        <w:fldChar w:fldCharType="begin"/>
      </w:r>
      <w:r>
        <w:instrText xml:space="preserve"> PAGEREF _Toc207111712 \h </w:instrText>
      </w:r>
      <w:r>
        <w:fldChar w:fldCharType="separate"/>
      </w:r>
      <w:r>
        <w:t>9</w:t>
      </w:r>
      <w:r>
        <w:fldChar w:fldCharType="end"/>
      </w:r>
      <w:r>
        <w:fldChar w:fldCharType="end"/>
      </w:r>
    </w:p>
    <w:p w14:paraId="0DC080C5">
      <w:pPr>
        <w:pStyle w:val="23"/>
        <w:rPr>
          <w:rFonts w:asciiTheme="minorHAnsi" w:hAnsiTheme="minorHAnsi"/>
          <w:sz w:val="22"/>
          <w14:ligatures w14:val="standardContextual"/>
        </w:rPr>
      </w:pPr>
      <w:r>
        <w:fldChar w:fldCharType="begin"/>
      </w:r>
      <w:r>
        <w:instrText xml:space="preserve"> HYPERLINK \l "_Toc207111713" </w:instrText>
      </w:r>
      <w:r>
        <w:fldChar w:fldCharType="separate"/>
      </w:r>
      <w:r>
        <w:rPr>
          <w:rStyle w:val="33"/>
          <w:color w:val="auto"/>
        </w:rPr>
        <w:t>5.3  砌体抗剪加固</w:t>
      </w:r>
      <w:r>
        <w:tab/>
      </w:r>
      <w:r>
        <w:fldChar w:fldCharType="begin"/>
      </w:r>
      <w:r>
        <w:instrText xml:space="preserve"> PAGEREF _Toc207111713 \h </w:instrText>
      </w:r>
      <w:r>
        <w:fldChar w:fldCharType="separate"/>
      </w:r>
      <w:r>
        <w:t>12</w:t>
      </w:r>
      <w:r>
        <w:fldChar w:fldCharType="end"/>
      </w:r>
      <w:r>
        <w:fldChar w:fldCharType="end"/>
      </w:r>
    </w:p>
    <w:p w14:paraId="2D18C57B">
      <w:pPr>
        <w:pStyle w:val="23"/>
        <w:rPr>
          <w:rFonts w:asciiTheme="minorHAnsi" w:hAnsiTheme="minorHAnsi"/>
          <w:sz w:val="22"/>
          <w14:ligatures w14:val="standardContextual"/>
        </w:rPr>
      </w:pPr>
      <w:r>
        <w:fldChar w:fldCharType="begin"/>
      </w:r>
      <w:r>
        <w:instrText xml:space="preserve"> HYPERLINK \l "_Toc207111714" </w:instrText>
      </w:r>
      <w:r>
        <w:fldChar w:fldCharType="separate"/>
      </w:r>
      <w:r>
        <w:rPr>
          <w:rStyle w:val="33"/>
          <w:color w:val="auto"/>
        </w:rPr>
        <w:t>5.4  砌体抗震加固</w:t>
      </w:r>
      <w:r>
        <w:tab/>
      </w:r>
      <w:r>
        <w:fldChar w:fldCharType="begin"/>
      </w:r>
      <w:r>
        <w:instrText xml:space="preserve"> PAGEREF _Toc207111714 \h </w:instrText>
      </w:r>
      <w:r>
        <w:fldChar w:fldCharType="separate"/>
      </w:r>
      <w:r>
        <w:t>13</w:t>
      </w:r>
      <w:r>
        <w:fldChar w:fldCharType="end"/>
      </w:r>
      <w:r>
        <w:fldChar w:fldCharType="end"/>
      </w:r>
    </w:p>
    <w:p w14:paraId="2A5CD734">
      <w:pPr>
        <w:pStyle w:val="23"/>
        <w:rPr>
          <w:rFonts w:asciiTheme="minorHAnsi" w:hAnsiTheme="minorHAnsi"/>
          <w:sz w:val="22"/>
          <w14:ligatures w14:val="standardContextual"/>
        </w:rPr>
      </w:pPr>
      <w:r>
        <w:fldChar w:fldCharType="begin"/>
      </w:r>
      <w:r>
        <w:instrText xml:space="preserve"> HYPERLINK \l "_Toc207111715" </w:instrText>
      </w:r>
      <w:r>
        <w:fldChar w:fldCharType="separate"/>
      </w:r>
      <w:r>
        <w:rPr>
          <w:rStyle w:val="33"/>
          <w:color w:val="auto"/>
        </w:rPr>
        <w:t xml:space="preserve">5.5  </w:t>
      </w:r>
      <w:r>
        <w:rPr>
          <w:rStyle w:val="33"/>
          <w:bCs/>
          <w:color w:val="auto"/>
        </w:rPr>
        <w:t>构造要求</w:t>
      </w:r>
      <w:r>
        <w:tab/>
      </w:r>
      <w:r>
        <w:fldChar w:fldCharType="begin"/>
      </w:r>
      <w:r>
        <w:instrText xml:space="preserve"> PAGEREF _Toc207111715 \h </w:instrText>
      </w:r>
      <w:r>
        <w:fldChar w:fldCharType="separate"/>
      </w:r>
      <w:r>
        <w:t>16</w:t>
      </w:r>
      <w:r>
        <w:fldChar w:fldCharType="end"/>
      </w:r>
      <w:r>
        <w:fldChar w:fldCharType="end"/>
      </w:r>
    </w:p>
    <w:p w14:paraId="46B89F5C">
      <w:pPr>
        <w:pStyle w:val="20"/>
        <w:rPr>
          <w:rFonts w:asciiTheme="minorHAnsi" w:hAnsiTheme="minorHAnsi" w:eastAsiaTheme="minorEastAsia" w:cstheme="minorBidi"/>
          <w:sz w:val="22"/>
          <w14:ligatures w14:val="standardContextual"/>
        </w:rPr>
      </w:pPr>
      <w:r>
        <w:fldChar w:fldCharType="begin"/>
      </w:r>
      <w:r>
        <w:instrText xml:space="preserve"> HYPERLINK \l "_Toc207111716" </w:instrText>
      </w:r>
      <w:r>
        <w:fldChar w:fldCharType="separate"/>
      </w:r>
      <w:r>
        <w:rPr>
          <w:rStyle w:val="33"/>
          <w:snapToGrid w:val="0"/>
          <w:color w:val="auto"/>
        </w:rPr>
        <w:t>6  混凝土构件加固设计</w:t>
      </w:r>
      <w:r>
        <w:tab/>
      </w:r>
      <w:r>
        <w:fldChar w:fldCharType="begin"/>
      </w:r>
      <w:r>
        <w:instrText xml:space="preserve"> PAGEREF _Toc207111716 \h </w:instrText>
      </w:r>
      <w:r>
        <w:fldChar w:fldCharType="separate"/>
      </w:r>
      <w:r>
        <w:t>20</w:t>
      </w:r>
      <w:r>
        <w:fldChar w:fldCharType="end"/>
      </w:r>
      <w:r>
        <w:fldChar w:fldCharType="end"/>
      </w:r>
    </w:p>
    <w:p w14:paraId="33C6727A">
      <w:pPr>
        <w:pStyle w:val="23"/>
        <w:rPr>
          <w:rFonts w:asciiTheme="minorHAnsi" w:hAnsiTheme="minorHAnsi"/>
          <w:sz w:val="22"/>
          <w14:ligatures w14:val="standardContextual"/>
        </w:rPr>
      </w:pPr>
      <w:r>
        <w:fldChar w:fldCharType="begin"/>
      </w:r>
      <w:r>
        <w:instrText xml:space="preserve"> HYPERLINK \l "_Toc207111717" </w:instrText>
      </w:r>
      <w:r>
        <w:fldChar w:fldCharType="separate"/>
      </w:r>
      <w:r>
        <w:rPr>
          <w:rStyle w:val="33"/>
          <w:rFonts w:cs="Times New Roman"/>
          <w:color w:val="auto"/>
        </w:rPr>
        <w:t>6.1</w:t>
      </w:r>
      <w:r>
        <w:rPr>
          <w:rStyle w:val="33"/>
          <w:color w:val="auto"/>
        </w:rPr>
        <w:t xml:space="preserve">  一般规定</w:t>
      </w:r>
      <w:r>
        <w:tab/>
      </w:r>
      <w:r>
        <w:fldChar w:fldCharType="begin"/>
      </w:r>
      <w:r>
        <w:instrText xml:space="preserve"> PAGEREF _Toc207111717 \h </w:instrText>
      </w:r>
      <w:r>
        <w:fldChar w:fldCharType="separate"/>
      </w:r>
      <w:r>
        <w:t>20</w:t>
      </w:r>
      <w:r>
        <w:fldChar w:fldCharType="end"/>
      </w:r>
      <w:r>
        <w:fldChar w:fldCharType="end"/>
      </w:r>
    </w:p>
    <w:p w14:paraId="5F2274EE">
      <w:pPr>
        <w:pStyle w:val="23"/>
        <w:rPr>
          <w:rFonts w:asciiTheme="minorHAnsi" w:hAnsiTheme="minorHAnsi"/>
          <w:sz w:val="22"/>
          <w14:ligatures w14:val="standardContextual"/>
        </w:rPr>
      </w:pPr>
      <w:r>
        <w:fldChar w:fldCharType="begin"/>
      </w:r>
      <w:r>
        <w:instrText xml:space="preserve"> HYPERLINK \l "_Toc207111718" </w:instrText>
      </w:r>
      <w:r>
        <w:fldChar w:fldCharType="separate"/>
      </w:r>
      <w:r>
        <w:rPr>
          <w:rStyle w:val="33"/>
          <w:color w:val="auto"/>
        </w:rPr>
        <w:t>6.2  钢筋混凝土剪力墙抗剪加固</w:t>
      </w:r>
      <w:r>
        <w:tab/>
      </w:r>
      <w:r>
        <w:fldChar w:fldCharType="begin"/>
      </w:r>
      <w:r>
        <w:instrText xml:space="preserve"> PAGEREF _Toc207111718 \h </w:instrText>
      </w:r>
      <w:r>
        <w:fldChar w:fldCharType="separate"/>
      </w:r>
      <w:r>
        <w:t>20</w:t>
      </w:r>
      <w:r>
        <w:fldChar w:fldCharType="end"/>
      </w:r>
      <w:r>
        <w:fldChar w:fldCharType="end"/>
      </w:r>
    </w:p>
    <w:p w14:paraId="47ECBAA8">
      <w:pPr>
        <w:pStyle w:val="23"/>
        <w:rPr>
          <w:rFonts w:asciiTheme="minorHAnsi" w:hAnsiTheme="minorHAnsi"/>
          <w:sz w:val="22"/>
          <w14:ligatures w14:val="standardContextual"/>
        </w:rPr>
      </w:pPr>
      <w:r>
        <w:fldChar w:fldCharType="begin"/>
      </w:r>
      <w:r>
        <w:instrText xml:space="preserve"> HYPERLINK \l "_Toc207111719" </w:instrText>
      </w:r>
      <w:r>
        <w:fldChar w:fldCharType="separate"/>
      </w:r>
      <w:r>
        <w:rPr>
          <w:rStyle w:val="33"/>
          <w:color w:val="auto"/>
        </w:rPr>
        <w:t>6.3  钢筋混凝土梁抗剪加固</w:t>
      </w:r>
      <w:r>
        <w:tab/>
      </w:r>
      <w:r>
        <w:fldChar w:fldCharType="begin"/>
      </w:r>
      <w:r>
        <w:instrText xml:space="preserve"> PAGEREF _Toc207111719 \h </w:instrText>
      </w:r>
      <w:r>
        <w:fldChar w:fldCharType="separate"/>
      </w:r>
      <w:r>
        <w:t>21</w:t>
      </w:r>
      <w:r>
        <w:fldChar w:fldCharType="end"/>
      </w:r>
      <w:r>
        <w:fldChar w:fldCharType="end"/>
      </w:r>
    </w:p>
    <w:p w14:paraId="5FC1A3F5">
      <w:pPr>
        <w:pStyle w:val="23"/>
        <w:rPr>
          <w:rFonts w:asciiTheme="minorHAnsi" w:hAnsiTheme="minorHAnsi"/>
          <w:sz w:val="22"/>
          <w14:ligatures w14:val="standardContextual"/>
        </w:rPr>
      </w:pPr>
      <w:r>
        <w:fldChar w:fldCharType="begin"/>
      </w:r>
      <w:r>
        <w:instrText xml:space="preserve"> HYPERLINK \l "_Toc207111720" </w:instrText>
      </w:r>
      <w:r>
        <w:fldChar w:fldCharType="separate"/>
      </w:r>
      <w:r>
        <w:rPr>
          <w:rStyle w:val="33"/>
          <w:color w:val="auto"/>
        </w:rPr>
        <w:t>6.4  钢筋混凝土柱正截面抗压加固</w:t>
      </w:r>
      <w:r>
        <w:tab/>
      </w:r>
      <w:r>
        <w:fldChar w:fldCharType="begin"/>
      </w:r>
      <w:r>
        <w:instrText xml:space="preserve"> PAGEREF _Toc207111720 \h </w:instrText>
      </w:r>
      <w:r>
        <w:fldChar w:fldCharType="separate"/>
      </w:r>
      <w:r>
        <w:t>23</w:t>
      </w:r>
      <w:r>
        <w:fldChar w:fldCharType="end"/>
      </w:r>
      <w:r>
        <w:fldChar w:fldCharType="end"/>
      </w:r>
    </w:p>
    <w:p w14:paraId="22BBE18C">
      <w:pPr>
        <w:pStyle w:val="23"/>
        <w:rPr>
          <w:rFonts w:asciiTheme="minorHAnsi" w:hAnsiTheme="minorHAnsi"/>
          <w:sz w:val="22"/>
          <w14:ligatures w14:val="standardContextual"/>
        </w:rPr>
      </w:pPr>
      <w:r>
        <w:fldChar w:fldCharType="begin"/>
      </w:r>
      <w:r>
        <w:instrText xml:space="preserve"> HYPERLINK \l "_Toc207111721" </w:instrText>
      </w:r>
      <w:r>
        <w:fldChar w:fldCharType="separate"/>
      </w:r>
      <w:r>
        <w:rPr>
          <w:rStyle w:val="33"/>
          <w:color w:val="auto"/>
        </w:rPr>
        <w:t xml:space="preserve">6.5  </w:t>
      </w:r>
      <w:r>
        <w:rPr>
          <w:rStyle w:val="33"/>
          <w:bCs/>
          <w:color w:val="auto"/>
        </w:rPr>
        <w:t>抗震加固</w:t>
      </w:r>
      <w:r>
        <w:tab/>
      </w:r>
      <w:r>
        <w:fldChar w:fldCharType="begin"/>
      </w:r>
      <w:r>
        <w:instrText xml:space="preserve"> PAGEREF _Toc207111721 \h </w:instrText>
      </w:r>
      <w:r>
        <w:fldChar w:fldCharType="separate"/>
      </w:r>
      <w:r>
        <w:t>24</w:t>
      </w:r>
      <w:r>
        <w:fldChar w:fldCharType="end"/>
      </w:r>
      <w:r>
        <w:fldChar w:fldCharType="end"/>
      </w:r>
    </w:p>
    <w:p w14:paraId="1CC86EC9">
      <w:pPr>
        <w:pStyle w:val="23"/>
        <w:rPr>
          <w:rFonts w:asciiTheme="minorHAnsi" w:hAnsiTheme="minorHAnsi"/>
          <w:sz w:val="22"/>
          <w14:ligatures w14:val="standardContextual"/>
        </w:rPr>
      </w:pPr>
      <w:r>
        <w:fldChar w:fldCharType="begin"/>
      </w:r>
      <w:r>
        <w:instrText xml:space="preserve"> HYPERLINK \l "_Toc207111722" </w:instrText>
      </w:r>
      <w:r>
        <w:fldChar w:fldCharType="separate"/>
      </w:r>
      <w:r>
        <w:rPr>
          <w:rStyle w:val="33"/>
          <w:color w:val="auto"/>
        </w:rPr>
        <w:t xml:space="preserve">6.6  </w:t>
      </w:r>
      <w:r>
        <w:rPr>
          <w:rStyle w:val="33"/>
          <w:bCs/>
          <w:color w:val="auto"/>
        </w:rPr>
        <w:t>构造要求</w:t>
      </w:r>
      <w:r>
        <w:tab/>
      </w:r>
      <w:r>
        <w:fldChar w:fldCharType="begin"/>
      </w:r>
      <w:r>
        <w:instrText xml:space="preserve"> PAGEREF _Toc207111722 \h </w:instrText>
      </w:r>
      <w:r>
        <w:fldChar w:fldCharType="separate"/>
      </w:r>
      <w:r>
        <w:t>25</w:t>
      </w:r>
      <w:r>
        <w:fldChar w:fldCharType="end"/>
      </w:r>
      <w:r>
        <w:fldChar w:fldCharType="end"/>
      </w:r>
    </w:p>
    <w:p w14:paraId="504ECDF7">
      <w:pPr>
        <w:pStyle w:val="20"/>
        <w:rPr>
          <w:rFonts w:asciiTheme="minorHAnsi" w:hAnsiTheme="minorHAnsi" w:eastAsiaTheme="minorEastAsia" w:cstheme="minorBidi"/>
          <w:sz w:val="22"/>
          <w14:ligatures w14:val="standardContextual"/>
        </w:rPr>
      </w:pPr>
      <w:r>
        <w:fldChar w:fldCharType="begin"/>
      </w:r>
      <w:r>
        <w:instrText xml:space="preserve"> HYPERLINK \l "_Toc207111723" </w:instrText>
      </w:r>
      <w:r>
        <w:fldChar w:fldCharType="separate"/>
      </w:r>
      <w:r>
        <w:rPr>
          <w:rStyle w:val="33"/>
          <w:snapToGrid w:val="0"/>
          <w:color w:val="auto"/>
        </w:rPr>
        <w:t>7  施工</w:t>
      </w:r>
      <w:r>
        <w:tab/>
      </w:r>
      <w:r>
        <w:fldChar w:fldCharType="begin"/>
      </w:r>
      <w:r>
        <w:instrText xml:space="preserve"> PAGEREF _Toc207111723 \h </w:instrText>
      </w:r>
      <w:r>
        <w:fldChar w:fldCharType="separate"/>
      </w:r>
      <w:r>
        <w:t>28</w:t>
      </w:r>
      <w:r>
        <w:fldChar w:fldCharType="end"/>
      </w:r>
      <w:r>
        <w:fldChar w:fldCharType="end"/>
      </w:r>
    </w:p>
    <w:p w14:paraId="7A40585D">
      <w:pPr>
        <w:pStyle w:val="23"/>
        <w:rPr>
          <w:rFonts w:asciiTheme="minorHAnsi" w:hAnsiTheme="minorHAnsi"/>
          <w:sz w:val="22"/>
          <w14:ligatures w14:val="standardContextual"/>
        </w:rPr>
      </w:pPr>
      <w:r>
        <w:fldChar w:fldCharType="begin"/>
      </w:r>
      <w:r>
        <w:instrText xml:space="preserve"> HYPERLINK \l "_Toc207111724" </w:instrText>
      </w:r>
      <w:r>
        <w:fldChar w:fldCharType="separate"/>
      </w:r>
      <w:r>
        <w:rPr>
          <w:rStyle w:val="33"/>
          <w:color w:val="auto"/>
        </w:rPr>
        <w:t xml:space="preserve">7.1  </w:t>
      </w:r>
      <w:r>
        <w:rPr>
          <w:rStyle w:val="33"/>
          <w:bCs/>
          <w:color w:val="auto"/>
        </w:rPr>
        <w:t>一般规定</w:t>
      </w:r>
      <w:r>
        <w:tab/>
      </w:r>
      <w:r>
        <w:fldChar w:fldCharType="begin"/>
      </w:r>
      <w:r>
        <w:instrText xml:space="preserve"> PAGEREF _Toc207111724 \h </w:instrText>
      </w:r>
      <w:r>
        <w:fldChar w:fldCharType="separate"/>
      </w:r>
      <w:r>
        <w:t>28</w:t>
      </w:r>
      <w:r>
        <w:fldChar w:fldCharType="end"/>
      </w:r>
      <w:r>
        <w:fldChar w:fldCharType="end"/>
      </w:r>
    </w:p>
    <w:p w14:paraId="118AED9C">
      <w:pPr>
        <w:pStyle w:val="23"/>
        <w:rPr>
          <w:rFonts w:asciiTheme="minorHAnsi" w:hAnsiTheme="minorHAnsi"/>
          <w:sz w:val="22"/>
          <w14:ligatures w14:val="standardContextual"/>
        </w:rPr>
      </w:pPr>
      <w:r>
        <w:fldChar w:fldCharType="begin"/>
      </w:r>
      <w:r>
        <w:instrText xml:space="preserve"> HYPERLINK \l "_Toc207111725" </w:instrText>
      </w:r>
      <w:r>
        <w:fldChar w:fldCharType="separate"/>
      </w:r>
      <w:r>
        <w:rPr>
          <w:rStyle w:val="33"/>
          <w:color w:val="auto"/>
        </w:rPr>
        <w:t>7.2  施工要点</w:t>
      </w:r>
      <w:r>
        <w:tab/>
      </w:r>
      <w:r>
        <w:fldChar w:fldCharType="begin"/>
      </w:r>
      <w:r>
        <w:instrText xml:space="preserve"> PAGEREF _Toc207111725 \h </w:instrText>
      </w:r>
      <w:r>
        <w:fldChar w:fldCharType="separate"/>
      </w:r>
      <w:r>
        <w:t>29</w:t>
      </w:r>
      <w:r>
        <w:fldChar w:fldCharType="end"/>
      </w:r>
      <w:r>
        <w:fldChar w:fldCharType="end"/>
      </w:r>
    </w:p>
    <w:p w14:paraId="19CA3D09">
      <w:pPr>
        <w:pStyle w:val="23"/>
        <w:rPr>
          <w:rFonts w:asciiTheme="minorHAnsi" w:hAnsiTheme="minorHAnsi"/>
          <w:sz w:val="22"/>
          <w14:ligatures w14:val="standardContextual"/>
        </w:rPr>
      </w:pPr>
      <w:r>
        <w:fldChar w:fldCharType="begin"/>
      </w:r>
      <w:r>
        <w:instrText xml:space="preserve"> HYPERLINK \l "_Toc207111726" </w:instrText>
      </w:r>
      <w:r>
        <w:fldChar w:fldCharType="separate"/>
      </w:r>
      <w:r>
        <w:rPr>
          <w:rStyle w:val="33"/>
          <w:color w:val="auto"/>
        </w:rPr>
        <w:t xml:space="preserve">7.3  </w:t>
      </w:r>
      <w:r>
        <w:rPr>
          <w:rStyle w:val="33"/>
          <w:bCs/>
          <w:color w:val="auto"/>
        </w:rPr>
        <w:t>季节性施工</w:t>
      </w:r>
      <w:r>
        <w:tab/>
      </w:r>
      <w:r>
        <w:fldChar w:fldCharType="begin"/>
      </w:r>
      <w:r>
        <w:instrText xml:space="preserve"> PAGEREF _Toc207111726 \h </w:instrText>
      </w:r>
      <w:r>
        <w:fldChar w:fldCharType="separate"/>
      </w:r>
      <w:r>
        <w:t>30</w:t>
      </w:r>
      <w:r>
        <w:fldChar w:fldCharType="end"/>
      </w:r>
      <w:r>
        <w:fldChar w:fldCharType="end"/>
      </w:r>
    </w:p>
    <w:p w14:paraId="7E94410E">
      <w:pPr>
        <w:pStyle w:val="20"/>
        <w:rPr>
          <w:rFonts w:asciiTheme="minorHAnsi" w:hAnsiTheme="minorHAnsi" w:eastAsiaTheme="minorEastAsia" w:cstheme="minorBidi"/>
          <w:sz w:val="22"/>
          <w14:ligatures w14:val="standardContextual"/>
        </w:rPr>
      </w:pPr>
      <w:r>
        <w:fldChar w:fldCharType="begin"/>
      </w:r>
      <w:r>
        <w:instrText xml:space="preserve"> HYPERLINK \l "_Toc207111727" </w:instrText>
      </w:r>
      <w:r>
        <w:fldChar w:fldCharType="separate"/>
      </w:r>
      <w:r>
        <w:rPr>
          <w:rStyle w:val="33"/>
          <w:snapToGrid w:val="0"/>
          <w:color w:val="auto"/>
        </w:rPr>
        <w:t>8  质量验收</w:t>
      </w:r>
      <w:r>
        <w:tab/>
      </w:r>
      <w:r>
        <w:fldChar w:fldCharType="begin"/>
      </w:r>
      <w:r>
        <w:instrText xml:space="preserve"> PAGEREF _Toc207111727 \h </w:instrText>
      </w:r>
      <w:r>
        <w:fldChar w:fldCharType="separate"/>
      </w:r>
      <w:r>
        <w:t>31</w:t>
      </w:r>
      <w:r>
        <w:fldChar w:fldCharType="end"/>
      </w:r>
      <w:r>
        <w:fldChar w:fldCharType="end"/>
      </w:r>
    </w:p>
    <w:p w14:paraId="1890BE88">
      <w:pPr>
        <w:pStyle w:val="23"/>
        <w:rPr>
          <w:rFonts w:asciiTheme="minorHAnsi" w:hAnsiTheme="minorHAnsi"/>
          <w:sz w:val="22"/>
          <w14:ligatures w14:val="standardContextual"/>
        </w:rPr>
      </w:pPr>
      <w:r>
        <w:fldChar w:fldCharType="begin"/>
      </w:r>
      <w:r>
        <w:instrText xml:space="preserve"> HYPERLINK \l "_Toc207111728" </w:instrText>
      </w:r>
      <w:r>
        <w:fldChar w:fldCharType="separate"/>
      </w:r>
      <w:r>
        <w:rPr>
          <w:rStyle w:val="33"/>
          <w:color w:val="auto"/>
        </w:rPr>
        <w:t xml:space="preserve">8.1  </w:t>
      </w:r>
      <w:r>
        <w:rPr>
          <w:rStyle w:val="33"/>
          <w:bCs/>
          <w:color w:val="auto"/>
        </w:rPr>
        <w:t>一般规定</w:t>
      </w:r>
      <w:r>
        <w:tab/>
      </w:r>
      <w:r>
        <w:fldChar w:fldCharType="begin"/>
      </w:r>
      <w:r>
        <w:instrText xml:space="preserve"> PAGEREF _Toc207111728 \h </w:instrText>
      </w:r>
      <w:r>
        <w:fldChar w:fldCharType="separate"/>
      </w:r>
      <w:r>
        <w:t>31</w:t>
      </w:r>
      <w:r>
        <w:fldChar w:fldCharType="end"/>
      </w:r>
      <w:r>
        <w:fldChar w:fldCharType="end"/>
      </w:r>
    </w:p>
    <w:p w14:paraId="03EA3868">
      <w:pPr>
        <w:pStyle w:val="23"/>
        <w:rPr>
          <w:rFonts w:asciiTheme="minorHAnsi" w:hAnsiTheme="minorHAnsi"/>
          <w:sz w:val="22"/>
          <w14:ligatures w14:val="standardContextual"/>
        </w:rPr>
      </w:pPr>
      <w:r>
        <w:fldChar w:fldCharType="begin"/>
      </w:r>
      <w:r>
        <w:instrText xml:space="preserve"> HYPERLINK \l "_Toc207111729" </w:instrText>
      </w:r>
      <w:r>
        <w:fldChar w:fldCharType="separate"/>
      </w:r>
      <w:r>
        <w:rPr>
          <w:rStyle w:val="33"/>
          <w:color w:val="auto"/>
        </w:rPr>
        <w:t xml:space="preserve">8.2  </w:t>
      </w:r>
      <w:r>
        <w:rPr>
          <w:rStyle w:val="33"/>
          <w:bCs/>
          <w:color w:val="auto"/>
        </w:rPr>
        <w:t>材  料</w:t>
      </w:r>
      <w:r>
        <w:tab/>
      </w:r>
      <w:r>
        <w:fldChar w:fldCharType="begin"/>
      </w:r>
      <w:r>
        <w:instrText xml:space="preserve"> PAGEREF _Toc207111729 \h </w:instrText>
      </w:r>
      <w:r>
        <w:fldChar w:fldCharType="separate"/>
      </w:r>
      <w:r>
        <w:t>32</w:t>
      </w:r>
      <w:r>
        <w:fldChar w:fldCharType="end"/>
      </w:r>
      <w:r>
        <w:fldChar w:fldCharType="end"/>
      </w:r>
    </w:p>
    <w:p w14:paraId="4B82AED2">
      <w:pPr>
        <w:pStyle w:val="23"/>
        <w:rPr>
          <w:rFonts w:asciiTheme="minorHAnsi" w:hAnsiTheme="minorHAnsi"/>
          <w:sz w:val="22"/>
          <w14:ligatures w14:val="standardContextual"/>
        </w:rPr>
      </w:pPr>
      <w:r>
        <w:fldChar w:fldCharType="begin"/>
      </w:r>
      <w:r>
        <w:instrText xml:space="preserve"> HYPERLINK \l "_Toc207111730" </w:instrText>
      </w:r>
      <w:r>
        <w:fldChar w:fldCharType="separate"/>
      </w:r>
      <w:r>
        <w:rPr>
          <w:rStyle w:val="33"/>
          <w:color w:val="auto"/>
        </w:rPr>
        <w:t>I  主控项目</w:t>
      </w:r>
      <w:r>
        <w:tab/>
      </w:r>
      <w:r>
        <w:fldChar w:fldCharType="begin"/>
      </w:r>
      <w:r>
        <w:instrText xml:space="preserve"> PAGEREF _Toc207111730 \h </w:instrText>
      </w:r>
      <w:r>
        <w:fldChar w:fldCharType="separate"/>
      </w:r>
      <w:r>
        <w:t>32</w:t>
      </w:r>
      <w:r>
        <w:fldChar w:fldCharType="end"/>
      </w:r>
      <w:r>
        <w:fldChar w:fldCharType="end"/>
      </w:r>
    </w:p>
    <w:p w14:paraId="6F797B3D">
      <w:pPr>
        <w:pStyle w:val="23"/>
        <w:rPr>
          <w:rFonts w:asciiTheme="minorHAnsi" w:hAnsiTheme="minorHAnsi"/>
          <w:sz w:val="22"/>
          <w14:ligatures w14:val="standardContextual"/>
        </w:rPr>
      </w:pPr>
      <w:r>
        <w:fldChar w:fldCharType="begin"/>
      </w:r>
      <w:r>
        <w:instrText xml:space="preserve"> HYPERLINK \l "_Toc207111731" </w:instrText>
      </w:r>
      <w:r>
        <w:fldChar w:fldCharType="separate"/>
      </w:r>
      <w:r>
        <w:rPr>
          <w:rStyle w:val="33"/>
          <w:color w:val="auto"/>
        </w:rPr>
        <w:t>II  一般项目</w:t>
      </w:r>
      <w:r>
        <w:tab/>
      </w:r>
      <w:r>
        <w:fldChar w:fldCharType="begin"/>
      </w:r>
      <w:r>
        <w:instrText xml:space="preserve"> PAGEREF _Toc207111731 \h </w:instrText>
      </w:r>
      <w:r>
        <w:fldChar w:fldCharType="separate"/>
      </w:r>
      <w:r>
        <w:t>33</w:t>
      </w:r>
      <w:r>
        <w:fldChar w:fldCharType="end"/>
      </w:r>
      <w:r>
        <w:fldChar w:fldCharType="end"/>
      </w:r>
    </w:p>
    <w:p w14:paraId="2279C1E8">
      <w:pPr>
        <w:pStyle w:val="23"/>
        <w:rPr>
          <w:rFonts w:asciiTheme="minorHAnsi" w:hAnsiTheme="minorHAnsi"/>
          <w:sz w:val="22"/>
          <w14:ligatures w14:val="standardContextual"/>
        </w:rPr>
      </w:pPr>
      <w:r>
        <w:fldChar w:fldCharType="begin"/>
      </w:r>
      <w:r>
        <w:instrText xml:space="preserve"> HYPERLINK \l "_Toc207111732" </w:instrText>
      </w:r>
      <w:r>
        <w:fldChar w:fldCharType="separate"/>
      </w:r>
      <w:r>
        <w:rPr>
          <w:rStyle w:val="33"/>
          <w:color w:val="auto"/>
        </w:rPr>
        <w:t>8.3  施工质量检验</w:t>
      </w:r>
      <w:r>
        <w:tab/>
      </w:r>
      <w:r>
        <w:fldChar w:fldCharType="begin"/>
      </w:r>
      <w:r>
        <w:instrText xml:space="preserve"> PAGEREF _Toc207111732 \h </w:instrText>
      </w:r>
      <w:r>
        <w:fldChar w:fldCharType="separate"/>
      </w:r>
      <w:r>
        <w:t>33</w:t>
      </w:r>
      <w:r>
        <w:fldChar w:fldCharType="end"/>
      </w:r>
      <w:r>
        <w:fldChar w:fldCharType="end"/>
      </w:r>
    </w:p>
    <w:p w14:paraId="3410A6BE">
      <w:pPr>
        <w:pStyle w:val="23"/>
        <w:rPr>
          <w:rFonts w:asciiTheme="minorHAnsi" w:hAnsiTheme="minorHAnsi"/>
          <w:sz w:val="22"/>
          <w14:ligatures w14:val="standardContextual"/>
        </w:rPr>
      </w:pPr>
      <w:r>
        <w:fldChar w:fldCharType="begin"/>
      </w:r>
      <w:r>
        <w:instrText xml:space="preserve"> HYPERLINK \l "_Toc207111733" </w:instrText>
      </w:r>
      <w:r>
        <w:fldChar w:fldCharType="separate"/>
      </w:r>
      <w:r>
        <w:rPr>
          <w:rStyle w:val="33"/>
          <w:color w:val="auto"/>
        </w:rPr>
        <w:t>I  主控项目</w:t>
      </w:r>
      <w:r>
        <w:tab/>
      </w:r>
      <w:r>
        <w:fldChar w:fldCharType="begin"/>
      </w:r>
      <w:r>
        <w:instrText xml:space="preserve"> PAGEREF _Toc207111733 \h </w:instrText>
      </w:r>
      <w:r>
        <w:fldChar w:fldCharType="separate"/>
      </w:r>
      <w:r>
        <w:t>33</w:t>
      </w:r>
      <w:r>
        <w:fldChar w:fldCharType="end"/>
      </w:r>
      <w:r>
        <w:fldChar w:fldCharType="end"/>
      </w:r>
    </w:p>
    <w:p w14:paraId="7DD9891B">
      <w:pPr>
        <w:pStyle w:val="23"/>
        <w:rPr>
          <w:rFonts w:asciiTheme="minorHAnsi" w:hAnsiTheme="minorHAnsi"/>
          <w:sz w:val="22"/>
          <w14:ligatures w14:val="standardContextual"/>
        </w:rPr>
      </w:pPr>
      <w:r>
        <w:fldChar w:fldCharType="begin"/>
      </w:r>
      <w:r>
        <w:instrText xml:space="preserve"> HYPERLINK \l "_Toc207111734" </w:instrText>
      </w:r>
      <w:r>
        <w:fldChar w:fldCharType="separate"/>
      </w:r>
      <w:r>
        <w:rPr>
          <w:rStyle w:val="33"/>
          <w:color w:val="auto"/>
        </w:rPr>
        <w:t>II  一般项目</w:t>
      </w:r>
      <w:r>
        <w:tab/>
      </w:r>
      <w:r>
        <w:fldChar w:fldCharType="begin"/>
      </w:r>
      <w:r>
        <w:instrText xml:space="preserve"> PAGEREF _Toc207111734 \h </w:instrText>
      </w:r>
      <w:r>
        <w:fldChar w:fldCharType="separate"/>
      </w:r>
      <w:r>
        <w:t>35</w:t>
      </w:r>
      <w:r>
        <w:fldChar w:fldCharType="end"/>
      </w:r>
      <w:r>
        <w:fldChar w:fldCharType="end"/>
      </w:r>
    </w:p>
    <w:p w14:paraId="1D6DD8F5">
      <w:pPr>
        <w:pStyle w:val="23"/>
        <w:rPr>
          <w:rFonts w:asciiTheme="minorHAnsi" w:hAnsiTheme="minorHAnsi"/>
          <w:sz w:val="22"/>
          <w14:ligatures w14:val="standardContextual"/>
        </w:rPr>
      </w:pPr>
      <w:r>
        <w:fldChar w:fldCharType="begin"/>
      </w:r>
      <w:r>
        <w:instrText xml:space="preserve"> HYPERLINK \l "_Toc207111735" </w:instrText>
      </w:r>
      <w:r>
        <w:fldChar w:fldCharType="separate"/>
      </w:r>
      <w:r>
        <w:rPr>
          <w:rStyle w:val="33"/>
          <w:color w:val="auto"/>
        </w:rPr>
        <w:t xml:space="preserve">8.4  </w:t>
      </w:r>
      <w:r>
        <w:rPr>
          <w:rStyle w:val="33"/>
          <w:bCs/>
          <w:color w:val="auto"/>
        </w:rPr>
        <w:t>竣工验收</w:t>
      </w:r>
      <w:r>
        <w:tab/>
      </w:r>
      <w:r>
        <w:fldChar w:fldCharType="begin"/>
      </w:r>
      <w:r>
        <w:instrText xml:space="preserve"> PAGEREF _Toc207111735 \h </w:instrText>
      </w:r>
      <w:r>
        <w:fldChar w:fldCharType="separate"/>
      </w:r>
      <w:r>
        <w:t>35</w:t>
      </w:r>
      <w:r>
        <w:fldChar w:fldCharType="end"/>
      </w:r>
      <w:r>
        <w:fldChar w:fldCharType="end"/>
      </w:r>
    </w:p>
    <w:p w14:paraId="1A28E421">
      <w:pPr>
        <w:pStyle w:val="20"/>
        <w:rPr>
          <w:rFonts w:asciiTheme="minorHAnsi" w:hAnsiTheme="minorHAnsi" w:eastAsiaTheme="minorEastAsia" w:cstheme="minorBidi"/>
          <w:sz w:val="22"/>
          <w14:ligatures w14:val="standardContextual"/>
        </w:rPr>
      </w:pPr>
      <w:r>
        <w:fldChar w:fldCharType="begin"/>
      </w:r>
      <w:r>
        <w:instrText xml:space="preserve"> HYPERLINK \l "_Toc207111736" </w:instrText>
      </w:r>
      <w:r>
        <w:fldChar w:fldCharType="separate"/>
      </w:r>
      <w:r>
        <w:rPr>
          <w:rStyle w:val="33"/>
          <w:snapToGrid w:val="0"/>
          <w:color w:val="auto"/>
        </w:rPr>
        <w:t>附录A  高延性混凝土弯曲试验方法</w:t>
      </w:r>
      <w:r>
        <w:tab/>
      </w:r>
      <w:r>
        <w:fldChar w:fldCharType="begin"/>
      </w:r>
      <w:r>
        <w:instrText xml:space="preserve"> PAGEREF _Toc207111736 \h </w:instrText>
      </w:r>
      <w:r>
        <w:fldChar w:fldCharType="separate"/>
      </w:r>
      <w:r>
        <w:t>38</w:t>
      </w:r>
      <w:r>
        <w:fldChar w:fldCharType="end"/>
      </w:r>
      <w:r>
        <w:fldChar w:fldCharType="end"/>
      </w:r>
    </w:p>
    <w:p w14:paraId="2DC49783">
      <w:pPr>
        <w:pStyle w:val="20"/>
        <w:rPr>
          <w:rFonts w:asciiTheme="minorHAnsi" w:hAnsiTheme="minorHAnsi" w:eastAsiaTheme="minorEastAsia" w:cstheme="minorBidi"/>
          <w:sz w:val="22"/>
          <w14:ligatures w14:val="standardContextual"/>
        </w:rPr>
      </w:pPr>
      <w:r>
        <w:fldChar w:fldCharType="begin"/>
      </w:r>
      <w:r>
        <w:instrText xml:space="preserve"> HYPERLINK \l "_Toc207111737" </w:instrText>
      </w:r>
      <w:r>
        <w:fldChar w:fldCharType="separate"/>
      </w:r>
      <w:r>
        <w:rPr>
          <w:rStyle w:val="33"/>
          <w:snapToGrid w:val="0"/>
          <w:color w:val="auto"/>
        </w:rPr>
        <w:t>附录B  高延性混凝土抗折强度试验方法</w:t>
      </w:r>
      <w:r>
        <w:tab/>
      </w:r>
      <w:r>
        <w:fldChar w:fldCharType="begin"/>
      </w:r>
      <w:r>
        <w:instrText xml:space="preserve"> PAGEREF _Toc207111737 \h </w:instrText>
      </w:r>
      <w:r>
        <w:fldChar w:fldCharType="separate"/>
      </w:r>
      <w:r>
        <w:t>41</w:t>
      </w:r>
      <w:r>
        <w:fldChar w:fldCharType="end"/>
      </w:r>
      <w:r>
        <w:fldChar w:fldCharType="end"/>
      </w:r>
    </w:p>
    <w:p w14:paraId="69F5480A">
      <w:pPr>
        <w:pStyle w:val="20"/>
        <w:rPr>
          <w:rFonts w:asciiTheme="minorHAnsi" w:hAnsiTheme="minorHAnsi" w:eastAsiaTheme="minorEastAsia" w:cstheme="minorBidi"/>
          <w:sz w:val="22"/>
          <w14:ligatures w14:val="standardContextual"/>
        </w:rPr>
      </w:pPr>
      <w:r>
        <w:fldChar w:fldCharType="begin"/>
      </w:r>
      <w:r>
        <w:instrText xml:space="preserve"> HYPERLINK \l "_Toc207111738" </w:instrText>
      </w:r>
      <w:r>
        <w:fldChar w:fldCharType="separate"/>
      </w:r>
      <w:r>
        <w:rPr>
          <w:rStyle w:val="33"/>
          <w:color w:val="auto"/>
        </w:rPr>
        <w:t>附录C  农村房屋加固</w:t>
      </w:r>
      <w:r>
        <w:tab/>
      </w:r>
      <w:r>
        <w:fldChar w:fldCharType="begin"/>
      </w:r>
      <w:r>
        <w:instrText xml:space="preserve"> PAGEREF _Toc207111738 \h </w:instrText>
      </w:r>
      <w:r>
        <w:fldChar w:fldCharType="separate"/>
      </w:r>
      <w:r>
        <w:t>43</w:t>
      </w:r>
      <w:r>
        <w:fldChar w:fldCharType="end"/>
      </w:r>
      <w:r>
        <w:fldChar w:fldCharType="end"/>
      </w:r>
    </w:p>
    <w:p w14:paraId="3D20204D">
      <w:pPr>
        <w:numPr>
          <w:ilvl w:val="3"/>
          <w:numId w:val="0"/>
        </w:numPr>
        <w:spacing w:line="240" w:lineRule="auto"/>
        <w:rPr>
          <w:sz w:val="40"/>
          <w:szCs w:val="32"/>
        </w:rPr>
      </w:pPr>
      <w:r>
        <w:rPr>
          <w:rFonts w:eastAsia="宋体" w:cs="Times New Roman"/>
          <w:bCs/>
          <w:snapToGrid w:val="0"/>
          <w:kern w:val="0"/>
          <w:szCs w:val="24"/>
        </w:rPr>
        <w:fldChar w:fldCharType="end"/>
      </w:r>
      <w:bookmarkStart w:id="1" w:name="_Toc14974"/>
    </w:p>
    <w:bookmarkEnd w:id="1"/>
    <w:p w14:paraId="1483FFEB">
      <w:pPr>
        <w:spacing w:after="156" w:line="450" w:lineRule="exact"/>
        <w:ind w:firstLine="803"/>
        <w:jc w:val="center"/>
        <w:rPr>
          <w:rFonts w:eastAsia="宋体" w:cs="Times New Roman"/>
          <w:b/>
          <w:snapToGrid w:val="0"/>
          <w:kern w:val="0"/>
          <w:sz w:val="40"/>
        </w:rPr>
        <w:sectPr>
          <w:footerReference r:id="rId11" w:type="default"/>
          <w:pgSz w:w="11906" w:h="16838"/>
          <w:pgMar w:top="1985" w:right="1985" w:bottom="1701" w:left="1985" w:header="851" w:footer="992" w:gutter="0"/>
          <w:pgNumType w:start="1"/>
          <w:cols w:space="425" w:num="1"/>
          <w:docGrid w:type="lines" w:linePitch="312" w:charSpace="0"/>
        </w:sectPr>
      </w:pPr>
    </w:p>
    <w:p w14:paraId="6A2E98DF">
      <w:pPr>
        <w:pStyle w:val="2"/>
        <w:spacing w:after="312"/>
        <w:rPr>
          <w:snapToGrid w:val="0"/>
        </w:rPr>
      </w:pPr>
      <w:bookmarkStart w:id="2" w:name="_Toc24687"/>
      <w:bookmarkStart w:id="3" w:name="_Toc207111700"/>
      <w:bookmarkStart w:id="4" w:name="_Toc14011"/>
      <w:bookmarkStart w:id="5" w:name="_Toc2259"/>
      <w:r>
        <w:rPr>
          <w:rFonts w:hint="eastAsia"/>
          <w:snapToGrid w:val="0"/>
        </w:rPr>
        <w:t>1  总  则</w:t>
      </w:r>
      <w:bookmarkEnd w:id="2"/>
      <w:bookmarkEnd w:id="3"/>
      <w:bookmarkEnd w:id="4"/>
      <w:bookmarkEnd w:id="5"/>
    </w:p>
    <w:p w14:paraId="00FAA570">
      <w:pPr>
        <w:pStyle w:val="4"/>
      </w:pPr>
      <w:bookmarkStart w:id="6" w:name="_Ref440803191"/>
      <w:r>
        <w:rPr>
          <w:rFonts w:hint="eastAsia" w:cs="Arial"/>
          <w:b/>
          <w:szCs w:val="16"/>
        </w:rPr>
        <w:t xml:space="preserve">1.0.1  </w:t>
      </w:r>
      <w:bookmarkStart w:id="7" w:name="_Hlk206661303"/>
      <w:r>
        <w:rPr>
          <w:rFonts w:hint="eastAsia"/>
        </w:rPr>
        <w:t>为规范高延性混凝土在既有建筑加固工程中的应用，做到技术先进、安全可靠、经济合理，保证工程质量，制定本规程</w:t>
      </w:r>
      <w:bookmarkEnd w:id="7"/>
      <w:r>
        <w:rPr>
          <w:rFonts w:hint="eastAsia"/>
        </w:rPr>
        <w:t>。</w:t>
      </w:r>
    </w:p>
    <w:p w14:paraId="2AA95F87">
      <w:pPr>
        <w:pStyle w:val="4"/>
      </w:pPr>
      <w:r>
        <w:rPr>
          <w:rFonts w:hint="eastAsia" w:cs="Arial"/>
          <w:b/>
          <w:szCs w:val="16"/>
        </w:rPr>
        <w:t xml:space="preserve">1.0.2  </w:t>
      </w:r>
      <w:bookmarkStart w:id="8" w:name="_Hlk206661314"/>
      <w:r>
        <w:rPr>
          <w:rFonts w:hint="eastAsia"/>
        </w:rPr>
        <w:t>本规程适用于西藏自治区既有建筑加固工程中采用高延性混凝土加固砌体结构、混凝土结构构件和农牧区民居建筑的设计、施工和验收</w:t>
      </w:r>
      <w:bookmarkEnd w:id="8"/>
      <w:r>
        <w:rPr>
          <w:rFonts w:hint="eastAsia"/>
        </w:rPr>
        <w:t>。</w:t>
      </w:r>
    </w:p>
    <w:p w14:paraId="3EC28D78">
      <w:pPr>
        <w:pStyle w:val="4"/>
        <w:rPr>
          <w:rFonts w:cs="Arial"/>
          <w:b/>
          <w:szCs w:val="16"/>
        </w:rPr>
      </w:pPr>
      <w:r>
        <w:rPr>
          <w:rFonts w:hint="eastAsia" w:cs="Arial"/>
          <w:b/>
          <w:szCs w:val="16"/>
        </w:rPr>
        <w:t xml:space="preserve">1.0.3  </w:t>
      </w:r>
      <w:bookmarkStart w:id="9" w:name="_Hlk206661324"/>
      <w:r>
        <w:rPr>
          <w:rFonts w:hint="eastAsia"/>
        </w:rPr>
        <w:t>高延性混凝土在既有建筑加固工程中的应用除应符合本规程的规定外，尚应符合国家和西藏自治区现行有关标准的规定</w:t>
      </w:r>
      <w:bookmarkEnd w:id="9"/>
      <w:r>
        <w:rPr>
          <w:rFonts w:hint="eastAsia"/>
        </w:rPr>
        <w:t>。</w:t>
      </w:r>
    </w:p>
    <w:p w14:paraId="48BA0840">
      <w:pPr>
        <w:pStyle w:val="10"/>
        <w:spacing w:after="312"/>
        <w:ind w:firstLine="480"/>
      </w:pPr>
    </w:p>
    <w:bookmarkEnd w:id="6"/>
    <w:p w14:paraId="23DB64B4">
      <w:pPr>
        <w:spacing w:after="312" w:line="450" w:lineRule="exact"/>
        <w:ind w:firstLine="560"/>
        <w:rPr>
          <w:rFonts w:eastAsia="宋体" w:cs="Times New Roman"/>
          <w:snapToGrid w:val="0"/>
          <w:kern w:val="0"/>
          <w:sz w:val="28"/>
          <w:szCs w:val="21"/>
        </w:rPr>
      </w:pPr>
    </w:p>
    <w:p w14:paraId="32B324FC">
      <w:pPr>
        <w:spacing w:after="156" w:line="450" w:lineRule="exact"/>
        <w:ind w:firstLine="560"/>
        <w:jc w:val="center"/>
        <w:rPr>
          <w:rFonts w:eastAsia="宋体" w:cs="Times New Roman"/>
          <w:snapToGrid w:val="0"/>
          <w:kern w:val="0"/>
          <w:sz w:val="28"/>
        </w:rPr>
      </w:pPr>
      <w:r>
        <w:rPr>
          <w:rFonts w:eastAsia="宋体" w:cs="Times New Roman"/>
          <w:snapToGrid w:val="0"/>
          <w:kern w:val="0"/>
          <w:sz w:val="28"/>
        </w:rPr>
        <w:br w:type="page"/>
      </w:r>
      <w:bookmarkStart w:id="10" w:name="_Toc451067014"/>
      <w:bookmarkStart w:id="11" w:name="_Toc447816578"/>
      <w:bookmarkStart w:id="12" w:name="_Toc447817568"/>
    </w:p>
    <w:bookmarkEnd w:id="10"/>
    <w:bookmarkEnd w:id="11"/>
    <w:bookmarkEnd w:id="12"/>
    <w:p w14:paraId="6839807A">
      <w:pPr>
        <w:pStyle w:val="2"/>
        <w:spacing w:after="312"/>
      </w:pPr>
      <w:bookmarkStart w:id="13" w:name="_Toc1176"/>
      <w:bookmarkStart w:id="14" w:name="_Toc207111701"/>
      <w:bookmarkStart w:id="15" w:name="_Toc5273"/>
      <w:bookmarkStart w:id="16" w:name="_Toc13284"/>
      <w:bookmarkStart w:id="17" w:name="_Ref440806119"/>
      <w:r>
        <w:rPr>
          <w:rFonts w:hint="eastAsia"/>
          <w:snapToGrid w:val="0"/>
        </w:rPr>
        <w:t>2  术语和符号</w:t>
      </w:r>
      <w:bookmarkEnd w:id="13"/>
      <w:bookmarkEnd w:id="14"/>
      <w:bookmarkEnd w:id="15"/>
      <w:bookmarkEnd w:id="16"/>
    </w:p>
    <w:p w14:paraId="5F66D5CB">
      <w:pPr>
        <w:pStyle w:val="3"/>
        <w:rPr>
          <w:rFonts w:cs="Times New Roman"/>
          <w:sz w:val="40"/>
        </w:rPr>
      </w:pPr>
      <w:bookmarkStart w:id="18" w:name="_Toc11439"/>
      <w:bookmarkStart w:id="19" w:name="_Toc31183"/>
      <w:bookmarkStart w:id="20" w:name="_Toc31158"/>
      <w:bookmarkStart w:id="21" w:name="_Toc207111702"/>
      <w:bookmarkStart w:id="22" w:name="_Hlk206661516"/>
      <w:r>
        <w:rPr>
          <w:rFonts w:cs="Times New Roman"/>
        </w:rPr>
        <w:t>2.1</w:t>
      </w:r>
      <w:r>
        <w:rPr>
          <w:rFonts w:hint="eastAsia"/>
        </w:rPr>
        <w:t xml:space="preserve">  </w:t>
      </w:r>
      <w:r>
        <w:rPr>
          <w:rFonts w:hint="eastAsia"/>
          <w:bCs/>
        </w:rPr>
        <w:t>术 语</w:t>
      </w:r>
      <w:bookmarkEnd w:id="18"/>
      <w:bookmarkEnd w:id="19"/>
      <w:bookmarkEnd w:id="20"/>
      <w:bookmarkEnd w:id="21"/>
    </w:p>
    <w:bookmarkEnd w:id="17"/>
    <w:bookmarkEnd w:id="22"/>
    <w:p w14:paraId="139DAB5E">
      <w:pPr>
        <w:spacing w:line="312" w:lineRule="auto"/>
        <w:ind w:firstLine="422"/>
      </w:pPr>
      <w:bookmarkStart w:id="23" w:name="OLE_LINK9"/>
      <w:r>
        <w:rPr>
          <w:b/>
        </w:rPr>
        <w:t>2.1.1</w:t>
      </w:r>
      <w:r>
        <w:t xml:space="preserve">  高延性混凝土 high ductile concrete</w:t>
      </w:r>
    </w:p>
    <w:bookmarkEnd w:id="23"/>
    <w:p w14:paraId="22C400C1">
      <w:pPr>
        <w:spacing w:line="312" w:lineRule="auto"/>
        <w:ind w:firstLine="420"/>
      </w:pPr>
      <w:r>
        <w:t>由胶凝材料、骨料、外加剂和合成纤维等原材料组成，按一定比例加水搅拌、成型以后，具有高韧性</w:t>
      </w:r>
      <w:r>
        <w:rPr>
          <w:rFonts w:hint="eastAsia"/>
        </w:rPr>
        <w:t>和</w:t>
      </w:r>
      <w:r>
        <w:t>高抗裂性能的特种混凝土。</w:t>
      </w:r>
    </w:p>
    <w:p w14:paraId="545DAA27">
      <w:pPr>
        <w:spacing w:line="312" w:lineRule="auto"/>
        <w:ind w:firstLine="422"/>
      </w:pPr>
      <w:r>
        <w:rPr>
          <w:b/>
        </w:rPr>
        <w:t>2.1.</w:t>
      </w:r>
      <w:r>
        <w:rPr>
          <w:rFonts w:hint="eastAsia"/>
          <w:b/>
        </w:rPr>
        <w:t>2</w:t>
      </w:r>
      <w:r>
        <w:t xml:space="preserve">  </w:t>
      </w:r>
      <w:r>
        <w:rPr>
          <w:rFonts w:hint="eastAsia"/>
        </w:rPr>
        <w:t>合成纤维 synthetic fibre</w:t>
      </w:r>
    </w:p>
    <w:p w14:paraId="2855834B">
      <w:pPr>
        <w:spacing w:line="312" w:lineRule="auto"/>
        <w:ind w:firstLine="420"/>
      </w:pPr>
      <w:r>
        <w:rPr>
          <w:rFonts w:hint="eastAsia"/>
        </w:rPr>
        <w:t>以合成高分子化合物为原料制成的化学纤维。</w:t>
      </w:r>
    </w:p>
    <w:p w14:paraId="739AA803">
      <w:pPr>
        <w:spacing w:line="312" w:lineRule="auto"/>
        <w:ind w:firstLine="422"/>
      </w:pPr>
      <w:r>
        <w:rPr>
          <w:b/>
        </w:rPr>
        <w:t>2.1</w:t>
      </w:r>
      <w:r>
        <w:rPr>
          <w:rFonts w:hint="eastAsia"/>
          <w:b/>
        </w:rPr>
        <w:t>.3</w:t>
      </w:r>
      <w:r>
        <w:rPr>
          <w:b/>
        </w:rPr>
        <w:t xml:space="preserve"> </w:t>
      </w:r>
      <w:r>
        <w:t xml:space="preserve"> 等效弯曲强度 equivalent flexural strength</w:t>
      </w:r>
    </w:p>
    <w:p w14:paraId="0F2C7E25">
      <w:pPr>
        <w:spacing w:line="312" w:lineRule="auto"/>
        <w:ind w:firstLine="420"/>
      </w:pPr>
      <w:r>
        <w:t>试件弯曲韧性试验时，采用等效弯曲荷载计算所得的抗弯强度。</w:t>
      </w:r>
    </w:p>
    <w:p w14:paraId="38EFF914">
      <w:pPr>
        <w:spacing w:line="312" w:lineRule="auto"/>
        <w:ind w:firstLine="422"/>
      </w:pPr>
      <w:r>
        <w:rPr>
          <w:b/>
        </w:rPr>
        <w:t>2.1</w:t>
      </w:r>
      <w:r>
        <w:rPr>
          <w:rFonts w:hint="eastAsia"/>
          <w:b/>
        </w:rPr>
        <w:t>.4</w:t>
      </w:r>
      <w:r>
        <w:t xml:space="preserve">  等效弯曲韧性equivalent flexural toughness </w:t>
      </w:r>
    </w:p>
    <w:p w14:paraId="69335179">
      <w:pPr>
        <w:spacing w:line="312" w:lineRule="auto"/>
        <w:ind w:firstLine="420"/>
      </w:pPr>
      <w:r>
        <w:t>试件弯曲韧性试验时等效弯曲强度与挠跨比的乘积，与等效弯曲强度一起作为高延性混凝土弯曲韧性的评价指标。</w:t>
      </w:r>
    </w:p>
    <w:p w14:paraId="70C98DA8">
      <w:pPr>
        <w:spacing w:line="312" w:lineRule="auto"/>
        <w:ind w:firstLine="422"/>
      </w:pPr>
      <w:r>
        <w:rPr>
          <w:b/>
        </w:rPr>
        <w:t>2.1.</w:t>
      </w:r>
      <w:r>
        <w:rPr>
          <w:rFonts w:hint="eastAsia"/>
          <w:b/>
        </w:rPr>
        <w:t>5</w:t>
      </w:r>
      <w:r>
        <w:rPr>
          <w:b/>
        </w:rPr>
        <w:t xml:space="preserve"> </w:t>
      </w:r>
      <w:r>
        <w:t xml:space="preserve"> 材料强度利用系数 strength utilization factor of material</w:t>
      </w:r>
    </w:p>
    <w:p w14:paraId="7F4C6C26">
      <w:pPr>
        <w:spacing w:line="312" w:lineRule="auto"/>
        <w:ind w:firstLine="420"/>
      </w:pPr>
      <w:r>
        <w:t>考虑材料自身变形能力高于砌体</w:t>
      </w:r>
      <w:r>
        <w:rPr>
          <w:rFonts w:hint="eastAsia"/>
        </w:rPr>
        <w:t>及</w:t>
      </w:r>
      <w:r>
        <w:t>在二次受力条件下其强度得不到充分利用所引入的折算系数。</w:t>
      </w:r>
    </w:p>
    <w:p w14:paraId="31DDF367">
      <w:pPr>
        <w:spacing w:line="312" w:lineRule="auto"/>
        <w:ind w:firstLine="422"/>
      </w:pPr>
      <w:r>
        <w:rPr>
          <w:b/>
        </w:rPr>
        <w:t>2.1.</w:t>
      </w:r>
      <w:r>
        <w:rPr>
          <w:rFonts w:hint="eastAsia"/>
          <w:b/>
        </w:rPr>
        <w:t>6</w:t>
      </w:r>
      <w:r>
        <w:rPr>
          <w:b/>
        </w:rPr>
        <w:t xml:space="preserve"> </w:t>
      </w:r>
      <w:r>
        <w:rPr>
          <w:rFonts w:hint="eastAsia"/>
          <w:b/>
        </w:rPr>
        <w:t xml:space="preserve"> </w:t>
      </w:r>
      <w:r>
        <w:t>高延性混凝土面层加固 structure member strengthening with high ductile concrete layer</w:t>
      </w:r>
    </w:p>
    <w:p w14:paraId="2ACF8B2A">
      <w:pPr>
        <w:spacing w:line="312" w:lineRule="auto"/>
        <w:ind w:firstLine="420"/>
      </w:pPr>
      <w:r>
        <w:t>在原结构构件表面增设一定厚度的高延性混凝土，提高结构整体性、结构构件承载力和抗震能力的加固方法。</w:t>
      </w:r>
    </w:p>
    <w:p w14:paraId="771A8E71">
      <w:pPr>
        <w:spacing w:line="312" w:lineRule="auto"/>
        <w:ind w:firstLine="422"/>
      </w:pPr>
      <w:r>
        <w:rPr>
          <w:b/>
        </w:rPr>
        <w:t>2.1.</w:t>
      </w:r>
      <w:r>
        <w:rPr>
          <w:rFonts w:hint="eastAsia"/>
          <w:b/>
        </w:rPr>
        <w:t>7</w:t>
      </w:r>
      <w:r>
        <w:t xml:space="preserve"> </w:t>
      </w:r>
      <w:r>
        <w:rPr>
          <w:rFonts w:hint="eastAsia"/>
        </w:rPr>
        <w:t xml:space="preserve"> </w:t>
      </w:r>
      <w:r>
        <w:t>高延性混凝土条带加固 structure member strengthening with high ductile concrete strip</w:t>
      </w:r>
    </w:p>
    <w:p w14:paraId="50D76A21">
      <w:pPr>
        <w:spacing w:line="312" w:lineRule="auto"/>
        <w:ind w:firstLine="420"/>
      </w:pPr>
      <w:r>
        <w:t>在结构关键部位增设一定宽度和厚度的高延性混凝土条带，提高结构整体性、结构构件承载力和抗震能力的加固方法。</w:t>
      </w:r>
    </w:p>
    <w:p w14:paraId="730F4F2C">
      <w:pPr>
        <w:spacing w:line="312" w:lineRule="auto"/>
        <w:ind w:firstLine="422"/>
      </w:pPr>
      <w:r>
        <w:rPr>
          <w:b/>
        </w:rPr>
        <w:t>2.1.</w:t>
      </w:r>
      <w:r>
        <w:rPr>
          <w:rFonts w:hint="eastAsia"/>
          <w:b/>
        </w:rPr>
        <w:t>8</w:t>
      </w:r>
      <w:r>
        <w:t xml:space="preserve"> </w:t>
      </w:r>
      <w:r>
        <w:rPr>
          <w:rFonts w:hint="eastAsia"/>
        </w:rPr>
        <w:t xml:space="preserve"> </w:t>
      </w:r>
      <w:r>
        <w:t xml:space="preserve">配筋高延性混凝土面层加固 structure member strengthening with reinforced high ductile concrete layer </w:t>
      </w:r>
    </w:p>
    <w:p w14:paraId="025408BE">
      <w:pPr>
        <w:spacing w:line="312" w:lineRule="auto"/>
        <w:ind w:firstLine="420"/>
        <w:rPr>
          <w:snapToGrid w:val="0"/>
        </w:rPr>
      </w:pPr>
      <w:r>
        <w:t>在原结构构件表面增设一定厚度的配筋高延性混凝土，提高结构整体性、结构构件承载力和抗震能力的加固方法。</w:t>
      </w:r>
      <w:r>
        <w:rPr>
          <w:snapToGrid w:val="0"/>
        </w:rPr>
        <w:br w:type="page"/>
      </w:r>
    </w:p>
    <w:p w14:paraId="6CE00A28">
      <w:pPr>
        <w:pStyle w:val="3"/>
        <w:rPr>
          <w:rFonts w:cs="Times New Roman"/>
          <w:sz w:val="40"/>
        </w:rPr>
      </w:pPr>
      <w:bookmarkStart w:id="24" w:name="_Toc17540"/>
      <w:bookmarkStart w:id="25" w:name="_Toc11364"/>
      <w:bookmarkStart w:id="26" w:name="_Toc207111703"/>
      <w:bookmarkStart w:id="27" w:name="_Toc8013"/>
      <w:bookmarkStart w:id="28" w:name="_Hlk206661555"/>
      <w:bookmarkStart w:id="29" w:name="_Toc447816579"/>
      <w:bookmarkStart w:id="30" w:name="_Toc447817569"/>
      <w:bookmarkStart w:id="31" w:name="_Toc451067015"/>
      <w:r>
        <w:rPr>
          <w:rFonts w:cs="Times New Roman"/>
        </w:rPr>
        <w:t>2.2</w:t>
      </w:r>
      <w:r>
        <w:rPr>
          <w:rFonts w:hint="eastAsia"/>
        </w:rPr>
        <w:t xml:space="preserve">  </w:t>
      </w:r>
      <w:r>
        <w:rPr>
          <w:rFonts w:hint="eastAsia"/>
          <w:bCs/>
        </w:rPr>
        <w:t>符 号</w:t>
      </w:r>
      <w:bookmarkEnd w:id="24"/>
      <w:bookmarkEnd w:id="25"/>
      <w:bookmarkEnd w:id="26"/>
      <w:bookmarkEnd w:id="27"/>
    </w:p>
    <w:p w14:paraId="69F29605">
      <w:pPr>
        <w:pStyle w:val="4"/>
        <w:rPr>
          <w:b/>
        </w:rPr>
      </w:pPr>
      <w:r>
        <w:rPr>
          <w:rFonts w:hint="eastAsia"/>
          <w:b/>
        </w:rPr>
        <w:t xml:space="preserve">2.2.1  </w:t>
      </w:r>
      <w:r>
        <w:rPr>
          <w:rFonts w:hint="eastAsia" w:hAnsi="Calibri"/>
        </w:rPr>
        <w:t>材料性能</w:t>
      </w:r>
    </w:p>
    <w:tbl>
      <w:tblPr>
        <w:tblStyle w:val="28"/>
        <w:tblW w:w="7932" w:type="dxa"/>
        <w:tblInd w:w="112" w:type="dxa"/>
        <w:tblLayout w:type="fixed"/>
        <w:tblCellMar>
          <w:top w:w="0" w:type="dxa"/>
          <w:left w:w="108" w:type="dxa"/>
          <w:bottom w:w="0" w:type="dxa"/>
          <w:right w:w="108" w:type="dxa"/>
        </w:tblCellMar>
      </w:tblPr>
      <w:tblGrid>
        <w:gridCol w:w="1474"/>
        <w:gridCol w:w="6458"/>
      </w:tblGrid>
      <w:tr w14:paraId="1587D89B">
        <w:tblPrEx>
          <w:tblCellMar>
            <w:top w:w="0" w:type="dxa"/>
            <w:left w:w="108" w:type="dxa"/>
            <w:bottom w:w="0" w:type="dxa"/>
            <w:right w:w="108" w:type="dxa"/>
          </w:tblCellMar>
        </w:tblPrEx>
        <w:tc>
          <w:tcPr>
            <w:tcW w:w="1474" w:type="dxa"/>
            <w:vAlign w:val="center"/>
          </w:tcPr>
          <w:p w14:paraId="1A72278B">
            <w:pPr>
              <w:pStyle w:val="55"/>
              <w:spacing w:before="31" w:after="31"/>
            </w:pPr>
            <w:r>
              <w:object>
                <v:shape id="_x0000_i1025" o:spt="75" type="#_x0000_t75" style="height:23.4pt;width:16.35pt;" o:ole="t" filled="f" o:preferrelative="t" stroked="f" coordsize="21600,21600">
                  <v:path/>
                  <v:fill on="f" focussize="0,0"/>
                  <v:stroke on="f" joinstyle="miter"/>
                  <v:imagedata r:id="rId15" o:title=""/>
                  <o:lock v:ext="edit" aspectratio="t"/>
                  <w10:wrap type="none"/>
                  <w10:anchorlock/>
                </v:shape>
                <o:OLEObject Type="Embed" ProgID="Equation.DSMT4" ShapeID="_x0000_i1025" DrawAspect="Content" ObjectID="_1468075725" r:id="rId14">
                  <o:LockedField>false</o:LockedField>
                </o:OLEObject>
              </w:object>
            </w:r>
            <w:r>
              <w:t>——</w:t>
            </w:r>
          </w:p>
        </w:tc>
        <w:tc>
          <w:tcPr>
            <w:tcW w:w="6458" w:type="dxa"/>
            <w:vAlign w:val="center"/>
          </w:tcPr>
          <w:p w14:paraId="2863BE4A">
            <w:pPr>
              <w:pStyle w:val="55"/>
              <w:spacing w:before="31" w:after="31"/>
              <w:jc w:val="left"/>
            </w:pPr>
            <w:bookmarkStart w:id="32" w:name="_Toc7976043"/>
            <w:bookmarkStart w:id="33" w:name="_Toc534633295"/>
            <w:bookmarkStart w:id="34" w:name="_Toc18600527"/>
            <w:bookmarkStart w:id="35" w:name="_Toc532460913"/>
            <w:bookmarkStart w:id="36" w:name="_Toc515893895"/>
            <w:bookmarkStart w:id="37" w:name="_Toc18602243"/>
            <w:bookmarkStart w:id="38" w:name="_Toc535475885"/>
            <w:bookmarkStart w:id="39" w:name="_Toc519684018"/>
            <w:bookmarkStart w:id="40" w:name="_Toc9927614"/>
            <w:bookmarkStart w:id="41" w:name="_Toc10207129"/>
            <w:bookmarkStart w:id="42" w:name="_Toc515087690"/>
            <w:bookmarkStart w:id="43" w:name="_Toc532464190"/>
            <w:bookmarkStart w:id="44" w:name="_Toc535338333"/>
            <w:bookmarkStart w:id="45" w:name="_Toc534633619"/>
            <w:bookmarkStart w:id="46" w:name="_Toc519683835"/>
            <w:r>
              <w:rPr>
                <w:rFonts w:hint="eastAsia"/>
              </w:rPr>
              <w:t>等效弯曲强度（N/mm2）；</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tc>
      </w:tr>
      <w:tr w14:paraId="533AA3B3">
        <w:tblPrEx>
          <w:tblCellMar>
            <w:top w:w="0" w:type="dxa"/>
            <w:left w:w="108" w:type="dxa"/>
            <w:bottom w:w="0" w:type="dxa"/>
            <w:right w:w="108" w:type="dxa"/>
          </w:tblCellMar>
        </w:tblPrEx>
        <w:tc>
          <w:tcPr>
            <w:tcW w:w="1474" w:type="dxa"/>
            <w:vAlign w:val="center"/>
          </w:tcPr>
          <w:p w14:paraId="178D5CDF">
            <w:pPr>
              <w:pStyle w:val="55"/>
              <w:spacing w:before="31" w:after="31"/>
            </w:pPr>
            <w:r>
              <w:object>
                <v:shape id="_x0000_i1026" o:spt="75" type="#_x0000_t75" style="height:19.65pt;width:21.05pt;" o:ole="t" filled="f" o:preferrelative="t" stroked="f" coordsize="21600,21600">
                  <v:path/>
                  <v:fill on="f" focussize="0,0"/>
                  <v:stroke on="f" joinstyle="miter"/>
                  <v:imagedata r:id="rId17" o:title=""/>
                  <o:lock v:ext="edit" aspectratio="t"/>
                  <w10:wrap type="none"/>
                  <w10:anchorlock/>
                </v:shape>
                <o:OLEObject Type="Embed" ProgID="Equation.DSMT4" ShapeID="_x0000_i1026" DrawAspect="Content" ObjectID="_1468075726" r:id="rId16">
                  <o:LockedField>false</o:LockedField>
                </o:OLEObject>
              </w:object>
            </w:r>
            <w:r>
              <w:t>——</w:t>
            </w:r>
          </w:p>
        </w:tc>
        <w:tc>
          <w:tcPr>
            <w:tcW w:w="6458" w:type="dxa"/>
            <w:vAlign w:val="center"/>
          </w:tcPr>
          <w:p w14:paraId="25309115">
            <w:pPr>
              <w:pStyle w:val="55"/>
              <w:spacing w:before="31" w:after="31"/>
              <w:jc w:val="left"/>
            </w:pPr>
            <w:bookmarkStart w:id="47" w:name="_Toc18600528"/>
            <w:bookmarkStart w:id="48" w:name="_Toc18602244"/>
            <w:bookmarkStart w:id="49" w:name="_Toc519683836"/>
            <w:bookmarkStart w:id="50" w:name="_Toc515893896"/>
            <w:bookmarkStart w:id="51" w:name="_Toc535475886"/>
            <w:bookmarkStart w:id="52" w:name="_Toc532464191"/>
            <w:bookmarkStart w:id="53" w:name="_Toc9927615"/>
            <w:bookmarkStart w:id="54" w:name="_Toc519684019"/>
            <w:bookmarkStart w:id="55" w:name="_Toc534633296"/>
            <w:bookmarkStart w:id="56" w:name="_Toc532460914"/>
            <w:bookmarkStart w:id="57" w:name="_Toc534633620"/>
            <w:bookmarkStart w:id="58" w:name="_Toc515087691"/>
            <w:bookmarkStart w:id="59" w:name="_Toc535338334"/>
            <w:bookmarkStart w:id="60" w:name="_Toc7976044"/>
            <w:bookmarkStart w:id="61" w:name="_Toc10207130"/>
            <w:r>
              <w:rPr>
                <w:rFonts w:hint="eastAsia"/>
              </w:rPr>
              <w:t>等效弯曲韧性（kJ/m3）；</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tc>
      </w:tr>
      <w:tr w14:paraId="1217B239">
        <w:tblPrEx>
          <w:tblCellMar>
            <w:top w:w="0" w:type="dxa"/>
            <w:left w:w="108" w:type="dxa"/>
            <w:bottom w:w="0" w:type="dxa"/>
            <w:right w:w="108" w:type="dxa"/>
          </w:tblCellMar>
        </w:tblPrEx>
        <w:tc>
          <w:tcPr>
            <w:tcW w:w="1474" w:type="dxa"/>
            <w:vAlign w:val="center"/>
          </w:tcPr>
          <w:p w14:paraId="0BA6F866">
            <w:pPr>
              <w:pStyle w:val="55"/>
              <w:spacing w:before="31" w:after="31"/>
            </w:pPr>
            <w:r>
              <w:object>
                <v:shape id="_x0000_i1027" o:spt="75" type="#_x0000_t75" style="height:19.65pt;width:16.35pt;" o:ole="t" filled="f" o:preferrelative="t" stroked="f" coordsize="21600,21600">
                  <v:path/>
                  <v:fill on="f" focussize="0,0"/>
                  <v:stroke on="f" joinstyle="miter"/>
                  <v:imagedata r:id="rId19" o:title=""/>
                  <o:lock v:ext="edit" aspectratio="t"/>
                  <w10:wrap type="none"/>
                  <w10:anchorlock/>
                </v:shape>
                <o:OLEObject Type="Embed" ProgID="Equation.DSMT4" ShapeID="_x0000_i1027" DrawAspect="Content" ObjectID="_1468075727" r:id="rId18">
                  <o:LockedField>false</o:LockedField>
                </o:OLEObject>
              </w:object>
            </w:r>
            <w:r>
              <w:t>——</w:t>
            </w:r>
          </w:p>
        </w:tc>
        <w:tc>
          <w:tcPr>
            <w:tcW w:w="6458" w:type="dxa"/>
            <w:vAlign w:val="center"/>
          </w:tcPr>
          <w:p w14:paraId="1F9429E3">
            <w:pPr>
              <w:pStyle w:val="55"/>
              <w:spacing w:before="31" w:after="31"/>
              <w:jc w:val="left"/>
            </w:pPr>
            <w:bookmarkStart w:id="62" w:name="_Toc519683843"/>
            <w:bookmarkStart w:id="63" w:name="_Toc18602248"/>
            <w:bookmarkStart w:id="64" w:name="_Toc515087702"/>
            <w:bookmarkStart w:id="65" w:name="_Toc515893907"/>
            <w:bookmarkStart w:id="66" w:name="_Toc18600532"/>
            <w:bookmarkStart w:id="67" w:name="_Toc519684026"/>
            <w:r>
              <w:rPr>
                <w:rFonts w:hint="eastAsia"/>
              </w:rPr>
              <w:t>高延性混凝土轴心抗压强度设计值（N/mm2）；</w:t>
            </w:r>
            <w:bookmarkEnd w:id="62"/>
            <w:bookmarkEnd w:id="63"/>
            <w:bookmarkEnd w:id="64"/>
            <w:bookmarkEnd w:id="65"/>
            <w:bookmarkEnd w:id="66"/>
            <w:bookmarkEnd w:id="67"/>
          </w:p>
        </w:tc>
      </w:tr>
      <w:tr w14:paraId="728B8DE4">
        <w:tblPrEx>
          <w:tblCellMar>
            <w:top w:w="0" w:type="dxa"/>
            <w:left w:w="108" w:type="dxa"/>
            <w:bottom w:w="0" w:type="dxa"/>
            <w:right w:w="108" w:type="dxa"/>
          </w:tblCellMar>
        </w:tblPrEx>
        <w:tc>
          <w:tcPr>
            <w:tcW w:w="1474" w:type="dxa"/>
            <w:vAlign w:val="center"/>
          </w:tcPr>
          <w:p w14:paraId="321CF67F">
            <w:pPr>
              <w:pStyle w:val="55"/>
              <w:spacing w:before="31" w:after="31"/>
            </w:pPr>
            <w:r>
              <w:object>
                <v:shape id="_x0000_i1028" o:spt="75" type="#_x0000_t75" style="height:20.1pt;width:17.75pt;" o:ole="t" filled="f" o:preferrelative="t" stroked="f" coordsize="21600,21600">
                  <v:path/>
                  <v:fill on="f" focussize="0,0"/>
                  <v:stroke on="f" joinstyle="miter"/>
                  <v:imagedata r:id="rId21" o:title=""/>
                  <o:lock v:ext="edit" aspectratio="t"/>
                  <w10:wrap type="none"/>
                  <w10:anchorlock/>
                </v:shape>
                <o:OLEObject Type="Embed" ProgID="Equation.DSMT4" ShapeID="_x0000_i1028" DrawAspect="Content" ObjectID="_1468075728" r:id="rId20">
                  <o:LockedField>false</o:LockedField>
                </o:OLEObject>
              </w:object>
            </w:r>
            <w:r>
              <w:t>——</w:t>
            </w:r>
          </w:p>
        </w:tc>
        <w:tc>
          <w:tcPr>
            <w:tcW w:w="6458" w:type="dxa"/>
            <w:vAlign w:val="center"/>
          </w:tcPr>
          <w:p w14:paraId="1C292C0C">
            <w:pPr>
              <w:pStyle w:val="55"/>
              <w:spacing w:before="31" w:after="31"/>
              <w:jc w:val="left"/>
            </w:pPr>
            <w:bookmarkStart w:id="68" w:name="_Toc515087705"/>
            <w:bookmarkStart w:id="69" w:name="_Toc515893910"/>
            <w:bookmarkStart w:id="70" w:name="_Toc18600533"/>
            <w:bookmarkStart w:id="71" w:name="_Toc519683844"/>
            <w:bookmarkStart w:id="72" w:name="_Toc18602249"/>
            <w:bookmarkStart w:id="73" w:name="_Toc519684027"/>
            <w:r>
              <w:rPr>
                <w:rFonts w:hint="eastAsia"/>
              </w:rPr>
              <w:t>高延性混凝土轴心抗拉强度设计值（N/mm2）；</w:t>
            </w:r>
            <w:bookmarkEnd w:id="68"/>
            <w:bookmarkEnd w:id="69"/>
            <w:bookmarkEnd w:id="70"/>
            <w:bookmarkEnd w:id="71"/>
            <w:bookmarkEnd w:id="72"/>
            <w:bookmarkEnd w:id="73"/>
          </w:p>
        </w:tc>
      </w:tr>
      <w:tr w14:paraId="3FE23798">
        <w:tblPrEx>
          <w:tblCellMar>
            <w:top w:w="0" w:type="dxa"/>
            <w:left w:w="108" w:type="dxa"/>
            <w:bottom w:w="0" w:type="dxa"/>
            <w:right w:w="108" w:type="dxa"/>
          </w:tblCellMar>
        </w:tblPrEx>
        <w:tc>
          <w:tcPr>
            <w:tcW w:w="1474" w:type="dxa"/>
            <w:vAlign w:val="center"/>
          </w:tcPr>
          <w:p w14:paraId="6ECF533E">
            <w:pPr>
              <w:pStyle w:val="55"/>
              <w:spacing w:before="31" w:after="31"/>
            </w:pPr>
            <w:r>
              <w:object>
                <v:shape id="_x0000_i1029" o:spt="75" type="#_x0000_t75" style="height:19.9pt;width:17.75pt;" o:ole="t" filled="f" o:preferrelative="t" stroked="f" coordsize="21600,21600">
                  <v:path/>
                  <v:fill on="f" focussize="0,0"/>
                  <v:stroke on="f" joinstyle="miter"/>
                  <v:imagedata r:id="rId23" o:title=""/>
                  <o:lock v:ext="edit" aspectratio="t"/>
                  <w10:wrap type="none"/>
                  <w10:anchorlock/>
                </v:shape>
                <o:OLEObject Type="Embed" ProgID="Equation.DSMT4" ShapeID="_x0000_i1029" DrawAspect="Content" ObjectID="_1468075729" r:id="rId22">
                  <o:LockedField>false</o:LockedField>
                </o:OLEObject>
              </w:object>
            </w:r>
            <w:r>
              <w:t>——</w:t>
            </w:r>
          </w:p>
        </w:tc>
        <w:tc>
          <w:tcPr>
            <w:tcW w:w="6458" w:type="dxa"/>
            <w:vAlign w:val="center"/>
          </w:tcPr>
          <w:p w14:paraId="22B975A0">
            <w:pPr>
              <w:pStyle w:val="55"/>
              <w:spacing w:before="31" w:after="31"/>
              <w:jc w:val="left"/>
            </w:pPr>
            <w:bookmarkStart w:id="74" w:name="_Toc519684028"/>
            <w:bookmarkStart w:id="75" w:name="_Toc519683845"/>
            <w:bookmarkStart w:id="76" w:name="_Toc18602250"/>
            <w:bookmarkStart w:id="77" w:name="_Toc18600534"/>
            <w:bookmarkStart w:id="78" w:name="_Toc515893903"/>
            <w:bookmarkStart w:id="79" w:name="_Toc515087698"/>
            <w:r>
              <w:rPr>
                <w:rFonts w:hint="eastAsia"/>
              </w:rPr>
              <w:t>高延性混凝土的弹性模量（N/mm2）；</w:t>
            </w:r>
            <w:bookmarkEnd w:id="74"/>
            <w:bookmarkEnd w:id="75"/>
            <w:bookmarkEnd w:id="76"/>
            <w:bookmarkEnd w:id="77"/>
            <w:bookmarkEnd w:id="78"/>
            <w:bookmarkEnd w:id="79"/>
          </w:p>
        </w:tc>
      </w:tr>
      <w:tr w14:paraId="76B40CF0">
        <w:tblPrEx>
          <w:tblCellMar>
            <w:top w:w="0" w:type="dxa"/>
            <w:left w:w="108" w:type="dxa"/>
            <w:bottom w:w="0" w:type="dxa"/>
            <w:right w:w="108" w:type="dxa"/>
          </w:tblCellMar>
        </w:tblPrEx>
        <w:tc>
          <w:tcPr>
            <w:tcW w:w="1474" w:type="dxa"/>
            <w:vAlign w:val="center"/>
          </w:tcPr>
          <w:p w14:paraId="647B8C19">
            <w:pPr>
              <w:pStyle w:val="55"/>
              <w:spacing w:before="31" w:after="31"/>
            </w:pPr>
            <w:r>
              <w:object>
                <v:shape id="_x0000_i1030" o:spt="75" type="#_x0000_t75" style="height:19.9pt;width:22.55pt;" o:ole="t" filled="f" o:preferrelative="t" stroked="f" coordsize="21600,21600">
                  <v:path/>
                  <v:fill on="f" focussize="0,0"/>
                  <v:stroke on="f" joinstyle="miter"/>
                  <v:imagedata r:id="rId25" o:title=""/>
                  <o:lock v:ext="edit" aspectratio="t"/>
                  <w10:wrap type="none"/>
                  <w10:anchorlock/>
                </v:shape>
                <o:OLEObject Type="Embed" ProgID="Equation.DSMT4" ShapeID="_x0000_i1030" DrawAspect="Content" ObjectID="_1468075730" r:id="rId24">
                  <o:LockedField>false</o:LockedField>
                </o:OLEObject>
              </w:object>
            </w:r>
            <w:r>
              <w:t>——</w:t>
            </w:r>
          </w:p>
        </w:tc>
        <w:tc>
          <w:tcPr>
            <w:tcW w:w="6458" w:type="dxa"/>
            <w:vAlign w:val="center"/>
          </w:tcPr>
          <w:p w14:paraId="72BA78AA">
            <w:pPr>
              <w:pStyle w:val="55"/>
              <w:spacing w:before="31" w:after="31"/>
              <w:jc w:val="left"/>
            </w:pPr>
            <w:bookmarkStart w:id="80" w:name="_Toc18600535"/>
            <w:bookmarkStart w:id="81" w:name="_Toc18602251"/>
            <w:r>
              <w:rPr>
                <w:rFonts w:hint="eastAsia"/>
              </w:rPr>
              <w:t>原构件砌体抗压强度设计值（N/mm2）</w:t>
            </w:r>
            <w:bookmarkEnd w:id="80"/>
            <w:bookmarkEnd w:id="81"/>
            <w:r>
              <w:rPr>
                <w:rFonts w:hint="eastAsia"/>
              </w:rPr>
              <w:t>。</w:t>
            </w:r>
          </w:p>
        </w:tc>
      </w:tr>
    </w:tbl>
    <w:p w14:paraId="746144B3">
      <w:pPr>
        <w:pStyle w:val="4"/>
      </w:pPr>
      <w:r>
        <w:rPr>
          <w:rFonts w:hint="eastAsia"/>
          <w:b/>
        </w:rPr>
        <w:t xml:space="preserve">2.2.2  </w:t>
      </w:r>
      <w:r>
        <w:rPr>
          <w:rFonts w:hint="eastAsia"/>
        </w:rPr>
        <w:t>作用和作用效应</w:t>
      </w:r>
    </w:p>
    <w:tbl>
      <w:tblPr>
        <w:tblStyle w:val="28"/>
        <w:tblW w:w="7932" w:type="dxa"/>
        <w:tblInd w:w="112" w:type="dxa"/>
        <w:tblLayout w:type="fixed"/>
        <w:tblCellMar>
          <w:top w:w="0" w:type="dxa"/>
          <w:left w:w="108" w:type="dxa"/>
          <w:bottom w:w="0" w:type="dxa"/>
          <w:right w:w="108" w:type="dxa"/>
        </w:tblCellMar>
      </w:tblPr>
      <w:tblGrid>
        <w:gridCol w:w="1474"/>
        <w:gridCol w:w="6458"/>
      </w:tblGrid>
      <w:tr w14:paraId="7881DE92">
        <w:trPr>
          <w:trHeight w:val="852" w:hRule="atLeast"/>
        </w:trPr>
        <w:tc>
          <w:tcPr>
            <w:tcW w:w="1474" w:type="dxa"/>
          </w:tcPr>
          <w:p w14:paraId="52958E6C">
            <w:pPr>
              <w:pStyle w:val="55"/>
              <w:spacing w:before="31" w:after="31"/>
            </w:pPr>
            <w:r>
              <w:object>
                <v:shape id="_x0000_i1031" o:spt="75" type="#_x0000_t75" style="height:19.9pt;width:19.9pt;" o:ole="t" filled="f" o:preferrelative="t" stroked="f" coordsize="21600,21600">
                  <v:path/>
                  <v:fill on="f" focussize="0,0"/>
                  <v:stroke on="f" joinstyle="miter"/>
                  <v:imagedata r:id="rId27" o:title=""/>
                  <o:lock v:ext="edit" aspectratio="t"/>
                  <w10:wrap type="none"/>
                  <w10:anchorlock/>
                </v:shape>
                <o:OLEObject Type="Embed" ProgID="Equation.DSMT4" ShapeID="_x0000_i1031" DrawAspect="Content" ObjectID="_1468075731" r:id="rId26">
                  <o:LockedField>false</o:LockedField>
                </o:OLEObject>
              </w:object>
            </w:r>
            <w:r>
              <w:t>——</w:t>
            </w:r>
          </w:p>
        </w:tc>
        <w:tc>
          <w:tcPr>
            <w:tcW w:w="6458" w:type="dxa"/>
            <w:vAlign w:val="center"/>
          </w:tcPr>
          <w:p w14:paraId="4E85A7C4">
            <w:pPr>
              <w:pStyle w:val="55"/>
              <w:spacing w:before="31" w:after="31"/>
              <w:jc w:val="left"/>
            </w:pPr>
            <w:bookmarkStart w:id="82" w:name="_Toc515893908"/>
            <w:bookmarkStart w:id="83" w:name="_Toc519683849"/>
            <w:bookmarkStart w:id="84" w:name="_Toc515087703"/>
            <w:bookmarkStart w:id="85" w:name="_Toc519684032"/>
            <w:r>
              <w:rPr>
                <w:rFonts w:hint="eastAsia"/>
              </w:rPr>
              <w:t>采用高延性混凝土面层加固后构件提高的受剪承载力（N）；</w:t>
            </w:r>
            <w:bookmarkEnd w:id="82"/>
            <w:bookmarkEnd w:id="83"/>
            <w:bookmarkEnd w:id="84"/>
            <w:bookmarkEnd w:id="85"/>
          </w:p>
        </w:tc>
      </w:tr>
      <w:tr w14:paraId="333048E3">
        <w:tblPrEx>
          <w:tblCellMar>
            <w:top w:w="0" w:type="dxa"/>
            <w:left w:w="108" w:type="dxa"/>
            <w:bottom w:w="0" w:type="dxa"/>
            <w:right w:w="108" w:type="dxa"/>
          </w:tblCellMar>
        </w:tblPrEx>
        <w:tc>
          <w:tcPr>
            <w:tcW w:w="1474" w:type="dxa"/>
          </w:tcPr>
          <w:p w14:paraId="2944751C">
            <w:pPr>
              <w:pStyle w:val="55"/>
              <w:spacing w:before="31" w:after="31"/>
            </w:pPr>
            <w:r>
              <w:drawing>
                <wp:inline distT="0" distB="0" distL="0" distR="0">
                  <wp:extent cx="252730" cy="252730"/>
                  <wp:effectExtent l="0" t="0" r="0" b="0"/>
                  <wp:docPr id="189635358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53588" name="图片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52730" cy="252730"/>
                          </a:xfrm>
                          <a:prstGeom prst="rect">
                            <a:avLst/>
                          </a:prstGeom>
                          <a:noFill/>
                          <a:ln>
                            <a:noFill/>
                          </a:ln>
                        </pic:spPr>
                      </pic:pic>
                    </a:graphicData>
                  </a:graphic>
                </wp:inline>
              </w:drawing>
            </w:r>
            <w:r>
              <w:t>——</w:t>
            </w:r>
          </w:p>
        </w:tc>
        <w:tc>
          <w:tcPr>
            <w:tcW w:w="6458" w:type="dxa"/>
            <w:vAlign w:val="center"/>
          </w:tcPr>
          <w:p w14:paraId="424D8691">
            <w:pPr>
              <w:pStyle w:val="55"/>
              <w:spacing w:before="31" w:after="31"/>
              <w:jc w:val="left"/>
            </w:pPr>
            <w:bookmarkStart w:id="86" w:name="_Toc519684033"/>
            <w:bookmarkStart w:id="87" w:name="_Toc515893909"/>
            <w:bookmarkStart w:id="88" w:name="_Toc515087704"/>
            <w:bookmarkStart w:id="89" w:name="_Toc519683850"/>
            <w:r>
              <w:rPr>
                <w:rFonts w:hint="eastAsia"/>
              </w:rPr>
              <w:t>墙体采用配筋面层加固后，水平方向钢筋承担的剪力（N）；</w:t>
            </w:r>
            <w:bookmarkEnd w:id="86"/>
            <w:bookmarkEnd w:id="87"/>
            <w:bookmarkEnd w:id="88"/>
            <w:bookmarkEnd w:id="89"/>
          </w:p>
        </w:tc>
      </w:tr>
      <w:tr w14:paraId="2538496A">
        <w:tblPrEx>
          <w:tblCellMar>
            <w:top w:w="0" w:type="dxa"/>
            <w:left w:w="108" w:type="dxa"/>
            <w:bottom w:w="0" w:type="dxa"/>
            <w:right w:w="108" w:type="dxa"/>
          </w:tblCellMar>
        </w:tblPrEx>
        <w:tc>
          <w:tcPr>
            <w:tcW w:w="1474" w:type="dxa"/>
          </w:tcPr>
          <w:p w14:paraId="5E68E8A1">
            <w:pPr>
              <w:pStyle w:val="55"/>
              <w:spacing w:before="31" w:after="31"/>
            </w:pPr>
            <w:r>
              <w:object>
                <v:shape id="_x0000_i1032" o:spt="75" type="#_x0000_t75" style="height:19.9pt;width:18.25pt;" o:ole="t" filled="f" o:preferrelative="t" stroked="f" coordsize="21600,21600">
                  <v:path/>
                  <v:fill on="f" focussize="0,0"/>
                  <v:stroke on="f" joinstyle="miter"/>
                  <v:imagedata r:id="rId30" o:title=""/>
                  <o:lock v:ext="edit" aspectratio="t"/>
                  <w10:wrap type="none"/>
                  <w10:anchorlock/>
                </v:shape>
                <o:OLEObject Type="Embed" ProgID="Equation.DSMT4" ShapeID="_x0000_i1032" DrawAspect="Content" ObjectID="_1468075732" r:id="rId29">
                  <o:LockedField>false</o:LockedField>
                </o:OLEObject>
              </w:object>
            </w:r>
            <w:r>
              <w:t>——</w:t>
            </w:r>
          </w:p>
        </w:tc>
        <w:tc>
          <w:tcPr>
            <w:tcW w:w="6458" w:type="dxa"/>
            <w:vAlign w:val="center"/>
          </w:tcPr>
          <w:p w14:paraId="79B16338">
            <w:pPr>
              <w:pStyle w:val="55"/>
              <w:spacing w:before="31" w:after="31"/>
              <w:jc w:val="left"/>
            </w:pPr>
            <w:bookmarkStart w:id="90" w:name="_Toc519684034"/>
            <w:bookmarkStart w:id="91" w:name="_Toc519683851"/>
            <w:bookmarkStart w:id="92" w:name="_Toc515087706"/>
            <w:bookmarkStart w:id="93" w:name="_Toc515893911"/>
            <w:r>
              <w:rPr>
                <w:rFonts w:hint="eastAsia"/>
              </w:rPr>
              <w:t>考虑地震组合的墙体剪力设计值（N）；</w:t>
            </w:r>
            <w:bookmarkEnd w:id="90"/>
            <w:bookmarkEnd w:id="91"/>
            <w:bookmarkEnd w:id="92"/>
            <w:bookmarkEnd w:id="93"/>
          </w:p>
        </w:tc>
      </w:tr>
      <w:tr w14:paraId="6C52FE27">
        <w:tblPrEx>
          <w:tblCellMar>
            <w:top w:w="0" w:type="dxa"/>
            <w:left w:w="108" w:type="dxa"/>
            <w:bottom w:w="0" w:type="dxa"/>
            <w:right w:w="108" w:type="dxa"/>
          </w:tblCellMar>
        </w:tblPrEx>
        <w:tc>
          <w:tcPr>
            <w:tcW w:w="1474" w:type="dxa"/>
          </w:tcPr>
          <w:p w14:paraId="7B653AE6">
            <w:pPr>
              <w:pStyle w:val="55"/>
              <w:spacing w:before="31" w:after="31"/>
            </w:pPr>
            <w:r>
              <w:object>
                <v:shape id="_x0000_i1033" o:spt="75" type="#_x0000_t75" style="height:19.9pt;width:28.5pt;" o:ole="t" filled="f" o:preferrelative="t" stroked="f" coordsize="21600,21600">
                  <v:path/>
                  <v:fill on="f" focussize="0,0"/>
                  <v:stroke on="f" joinstyle="miter"/>
                  <v:imagedata r:id="rId32" o:title=""/>
                  <o:lock v:ext="edit" aspectratio="t"/>
                  <w10:wrap type="none"/>
                  <w10:anchorlock/>
                </v:shape>
                <o:OLEObject Type="Embed" ProgID="Equation.DSMT4" ShapeID="_x0000_i1033" DrawAspect="Content" ObjectID="_1468075733" r:id="rId31">
                  <o:LockedField>false</o:LockedField>
                </o:OLEObject>
              </w:object>
            </w:r>
            <w:r>
              <w:t>——</w:t>
            </w:r>
          </w:p>
        </w:tc>
        <w:tc>
          <w:tcPr>
            <w:tcW w:w="6458" w:type="dxa"/>
            <w:vAlign w:val="center"/>
          </w:tcPr>
          <w:p w14:paraId="7591901F">
            <w:pPr>
              <w:pStyle w:val="55"/>
              <w:spacing w:before="31" w:after="31"/>
              <w:jc w:val="left"/>
            </w:pPr>
            <w:bookmarkStart w:id="94" w:name="_Toc519683852"/>
            <w:bookmarkStart w:id="95" w:name="_Toc519684035"/>
            <w:bookmarkStart w:id="96" w:name="_Toc515087707"/>
            <w:bookmarkStart w:id="97" w:name="_Toc515893912"/>
            <w:r>
              <w:rPr>
                <w:rFonts w:hint="eastAsia"/>
              </w:rPr>
              <w:t>原墙体截面抗震受剪承载力（N）</w:t>
            </w:r>
            <w:bookmarkEnd w:id="94"/>
            <w:bookmarkEnd w:id="95"/>
            <w:bookmarkEnd w:id="96"/>
            <w:bookmarkEnd w:id="97"/>
            <w:r>
              <w:rPr>
                <w:rFonts w:hint="eastAsia"/>
              </w:rPr>
              <w:t>。</w:t>
            </w:r>
          </w:p>
        </w:tc>
      </w:tr>
    </w:tbl>
    <w:p w14:paraId="46ED18FA">
      <w:pPr>
        <w:pStyle w:val="4"/>
        <w:rPr>
          <w:rFonts w:hAnsi="Calibri"/>
        </w:rPr>
      </w:pPr>
      <w:r>
        <w:rPr>
          <w:rFonts w:hint="eastAsia"/>
          <w:b/>
        </w:rPr>
        <w:t xml:space="preserve">2.2.3  </w:t>
      </w:r>
      <w:r>
        <w:rPr>
          <w:rFonts w:hint="eastAsia" w:hAnsi="Calibri"/>
        </w:rPr>
        <w:t>计算系数</w:t>
      </w:r>
    </w:p>
    <w:tbl>
      <w:tblPr>
        <w:tblStyle w:val="28"/>
        <w:tblW w:w="7932" w:type="dxa"/>
        <w:tblInd w:w="112" w:type="dxa"/>
        <w:tblLayout w:type="fixed"/>
        <w:tblCellMar>
          <w:top w:w="0" w:type="dxa"/>
          <w:left w:w="108" w:type="dxa"/>
          <w:bottom w:w="0" w:type="dxa"/>
          <w:right w:w="108" w:type="dxa"/>
        </w:tblCellMar>
      </w:tblPr>
      <w:tblGrid>
        <w:gridCol w:w="1474"/>
        <w:gridCol w:w="6458"/>
      </w:tblGrid>
      <w:tr w14:paraId="75A5E6BE">
        <w:tblPrEx>
          <w:tblCellMar>
            <w:top w:w="0" w:type="dxa"/>
            <w:left w:w="108" w:type="dxa"/>
            <w:bottom w:w="0" w:type="dxa"/>
            <w:right w:w="108" w:type="dxa"/>
          </w:tblCellMar>
        </w:tblPrEx>
        <w:tc>
          <w:tcPr>
            <w:tcW w:w="1474" w:type="dxa"/>
          </w:tcPr>
          <w:p w14:paraId="10E3FD93">
            <w:pPr>
              <w:pStyle w:val="55"/>
              <w:spacing w:before="31" w:after="31"/>
            </w:pPr>
            <w:r>
              <w:object>
                <v:shape id="_x0000_i1034" o:spt="75" type="#_x0000_t75" style="height:19.9pt;width:30.65pt;" o:ole="t" filled="f" o:preferrelative="t" stroked="f" coordsize="21600,21600">
                  <v:path/>
                  <v:fill on="f" focussize="0,0"/>
                  <v:stroke on="f" joinstyle="miter"/>
                  <v:imagedata r:id="rId34" o:title=""/>
                  <o:lock v:ext="edit" aspectratio="t"/>
                  <w10:wrap type="none"/>
                  <w10:anchorlock/>
                </v:shape>
                <o:OLEObject Type="Embed" ProgID="Equation.DSMT4" ShapeID="_x0000_i1034" DrawAspect="Content" ObjectID="_1468075734" r:id="rId33">
                  <o:LockedField>false</o:LockedField>
                </o:OLEObject>
              </w:object>
            </w:r>
            <w:r>
              <w:t>——</w:t>
            </w:r>
          </w:p>
        </w:tc>
        <w:tc>
          <w:tcPr>
            <w:tcW w:w="6458" w:type="dxa"/>
            <w:vAlign w:val="center"/>
          </w:tcPr>
          <w:p w14:paraId="1583A036">
            <w:pPr>
              <w:pStyle w:val="63"/>
              <w:spacing w:before="31" w:after="31"/>
            </w:pPr>
            <w:bookmarkStart w:id="98" w:name="_Toc515893905"/>
            <w:bookmarkStart w:id="99" w:name="_Toc519684030"/>
            <w:bookmarkStart w:id="100" w:name="_Toc519683847"/>
            <w:bookmarkStart w:id="101" w:name="_Toc515087700"/>
            <w:r>
              <w:rPr>
                <w:rFonts w:hint="eastAsia"/>
              </w:rPr>
              <w:t>轴心受压构件的稳定系数；</w:t>
            </w:r>
            <w:bookmarkEnd w:id="98"/>
            <w:bookmarkEnd w:id="99"/>
            <w:bookmarkEnd w:id="100"/>
            <w:bookmarkEnd w:id="101"/>
          </w:p>
        </w:tc>
      </w:tr>
      <w:tr w14:paraId="67936762">
        <w:tblPrEx>
          <w:tblCellMar>
            <w:top w:w="0" w:type="dxa"/>
            <w:left w:w="108" w:type="dxa"/>
            <w:bottom w:w="0" w:type="dxa"/>
            <w:right w:w="108" w:type="dxa"/>
          </w:tblCellMar>
        </w:tblPrEx>
        <w:tc>
          <w:tcPr>
            <w:tcW w:w="1474" w:type="dxa"/>
          </w:tcPr>
          <w:p w14:paraId="789210E3">
            <w:pPr>
              <w:pStyle w:val="55"/>
              <w:spacing w:before="31" w:after="31"/>
            </w:pPr>
            <w:r>
              <w:object>
                <v:shape id="_x0000_i1035" o:spt="75" type="#_x0000_t75" style="height:19.9pt;width:23.65pt;" o:ole="t" filled="f" o:preferrelative="t" stroked="f" coordsize="21600,21600">
                  <v:path/>
                  <v:fill on="f" focussize="0,0"/>
                  <v:stroke on="f" joinstyle="miter"/>
                  <v:imagedata r:id="rId36" o:title=""/>
                  <o:lock v:ext="edit" aspectratio="t"/>
                  <w10:wrap type="none"/>
                  <w10:anchorlock/>
                </v:shape>
                <o:OLEObject Type="Embed" ProgID="Equation.DSMT4" ShapeID="_x0000_i1035" DrawAspect="Content" ObjectID="_1468075735" r:id="rId35">
                  <o:LockedField>false</o:LockedField>
                </o:OLEObject>
              </w:object>
            </w:r>
            <w:r>
              <w:t>——</w:t>
            </w:r>
          </w:p>
        </w:tc>
        <w:tc>
          <w:tcPr>
            <w:tcW w:w="6458" w:type="dxa"/>
            <w:vAlign w:val="center"/>
          </w:tcPr>
          <w:p w14:paraId="169EDD10">
            <w:pPr>
              <w:pStyle w:val="63"/>
              <w:spacing w:before="31" w:after="31"/>
            </w:pPr>
            <w:r>
              <w:rPr>
                <w:rFonts w:hint="eastAsia"/>
              </w:rPr>
              <w:t>抗压加固时，高延性混凝土的强度利用系数；</w:t>
            </w:r>
          </w:p>
        </w:tc>
      </w:tr>
      <w:tr w14:paraId="5C1B44D5">
        <w:tblPrEx>
          <w:tblCellMar>
            <w:top w:w="0" w:type="dxa"/>
            <w:left w:w="108" w:type="dxa"/>
            <w:bottom w:w="0" w:type="dxa"/>
            <w:right w:w="108" w:type="dxa"/>
          </w:tblCellMar>
        </w:tblPrEx>
        <w:tc>
          <w:tcPr>
            <w:tcW w:w="1474" w:type="dxa"/>
          </w:tcPr>
          <w:p w14:paraId="1CF1F9C3">
            <w:pPr>
              <w:pStyle w:val="55"/>
              <w:spacing w:before="31" w:after="31"/>
            </w:pPr>
            <w:r>
              <w:object>
                <v:shape id="_x0000_i1036" o:spt="75" type="#_x0000_t75" style="height:19.9pt;width:23.65pt;" o:ole="t" filled="f" o:preferrelative="t" stroked="f" coordsize="21600,21600">
                  <v:path/>
                  <v:fill on="f" focussize="0,0"/>
                  <v:stroke on="f" joinstyle="miter"/>
                  <v:imagedata r:id="rId38" o:title=""/>
                  <o:lock v:ext="edit" aspectratio="t"/>
                  <w10:wrap type="none"/>
                  <w10:anchorlock/>
                </v:shape>
                <o:OLEObject Type="Embed" ProgID="Equation.DSMT4" ShapeID="_x0000_i1036" DrawAspect="Content" ObjectID="_1468075736" r:id="rId37">
                  <o:LockedField>false</o:LockedField>
                </o:OLEObject>
              </w:object>
            </w:r>
            <w:r>
              <w:t>——</w:t>
            </w:r>
          </w:p>
        </w:tc>
        <w:tc>
          <w:tcPr>
            <w:tcW w:w="6458" w:type="dxa"/>
            <w:vAlign w:val="center"/>
          </w:tcPr>
          <w:p w14:paraId="0A077B8B">
            <w:pPr>
              <w:pStyle w:val="63"/>
              <w:spacing w:before="31" w:after="31"/>
            </w:pPr>
            <w:bookmarkStart w:id="102" w:name="_Toc515087701"/>
            <w:bookmarkStart w:id="103" w:name="_Toc515893906"/>
            <w:bookmarkStart w:id="104" w:name="_Toc519683848"/>
            <w:bookmarkStart w:id="105" w:name="_Toc519684031"/>
            <w:r>
              <w:rPr>
                <w:rFonts w:hint="eastAsia"/>
              </w:rPr>
              <w:t>抗剪加固时，高延性混凝土的强度利用系数</w:t>
            </w:r>
            <w:bookmarkEnd w:id="102"/>
            <w:bookmarkEnd w:id="103"/>
            <w:r>
              <w:rPr>
                <w:rFonts w:hint="eastAsia"/>
              </w:rPr>
              <w:t>；</w:t>
            </w:r>
            <w:bookmarkEnd w:id="104"/>
            <w:bookmarkEnd w:id="105"/>
          </w:p>
        </w:tc>
      </w:tr>
      <w:tr w14:paraId="4308CBFA">
        <w:tblPrEx>
          <w:tblCellMar>
            <w:top w:w="0" w:type="dxa"/>
            <w:left w:w="108" w:type="dxa"/>
            <w:bottom w:w="0" w:type="dxa"/>
            <w:right w:w="108" w:type="dxa"/>
          </w:tblCellMar>
        </w:tblPrEx>
        <w:tc>
          <w:tcPr>
            <w:tcW w:w="1474" w:type="dxa"/>
          </w:tcPr>
          <w:p w14:paraId="1D2C8835">
            <w:pPr>
              <w:pStyle w:val="55"/>
              <w:spacing w:before="31" w:after="31"/>
            </w:pPr>
            <w:r>
              <w:object>
                <v:shape id="_x0000_i1037" o:spt="75" type="#_x0000_t75" style="height:19.9pt;width:19.9pt;" o:ole="t" filled="f" o:preferrelative="t" stroked="f" coordsize="21600,21600">
                  <v:path/>
                  <v:fill on="f" focussize="0,0"/>
                  <v:stroke on="f" joinstyle="miter"/>
                  <v:imagedata r:id="rId40" o:title=""/>
                  <o:lock v:ext="edit" aspectratio="t"/>
                  <w10:wrap type="none"/>
                  <w10:anchorlock/>
                </v:shape>
                <o:OLEObject Type="Embed" ProgID="Equation.DSMT4" ShapeID="_x0000_i1037" DrawAspect="Content" ObjectID="_1468075737" r:id="rId39">
                  <o:LockedField>false</o:LockedField>
                </o:OLEObject>
              </w:object>
            </w:r>
            <w:r>
              <w:t>——</w:t>
            </w:r>
          </w:p>
        </w:tc>
        <w:tc>
          <w:tcPr>
            <w:tcW w:w="6458" w:type="dxa"/>
            <w:vAlign w:val="center"/>
          </w:tcPr>
          <w:p w14:paraId="50721126">
            <w:pPr>
              <w:pStyle w:val="63"/>
              <w:spacing w:before="31" w:after="31"/>
            </w:pPr>
            <w:bookmarkStart w:id="106" w:name="_Toc519683853"/>
            <w:bookmarkStart w:id="107" w:name="_Toc515087708"/>
            <w:bookmarkStart w:id="108" w:name="_Toc519684036"/>
            <w:bookmarkStart w:id="109" w:name="_Toc515893913"/>
            <w:r>
              <w:rPr>
                <w:rFonts w:hint="eastAsia"/>
              </w:rPr>
              <w:t>高延性混凝土面层加固的基准增强系数；</w:t>
            </w:r>
            <w:bookmarkEnd w:id="106"/>
            <w:bookmarkEnd w:id="107"/>
            <w:bookmarkEnd w:id="108"/>
            <w:bookmarkEnd w:id="109"/>
          </w:p>
        </w:tc>
      </w:tr>
      <w:tr w14:paraId="34819323">
        <w:tblPrEx>
          <w:tblCellMar>
            <w:top w:w="0" w:type="dxa"/>
            <w:left w:w="108" w:type="dxa"/>
            <w:bottom w:w="0" w:type="dxa"/>
            <w:right w:w="108" w:type="dxa"/>
          </w:tblCellMar>
        </w:tblPrEx>
        <w:tc>
          <w:tcPr>
            <w:tcW w:w="1474" w:type="dxa"/>
          </w:tcPr>
          <w:p w14:paraId="4386023F">
            <w:pPr>
              <w:pStyle w:val="55"/>
              <w:spacing w:before="31" w:after="31"/>
            </w:pPr>
            <w:r>
              <w:object>
                <v:shape id="_x0000_i1038" o:spt="75" type="#_x0000_t75" style="height:19.9pt;width:19.9pt;" o:ole="t" filled="f" o:preferrelative="t" stroked="f" coordsize="21600,21600">
                  <v:path/>
                  <v:fill on="f" focussize="0,0"/>
                  <v:stroke on="f" joinstyle="miter"/>
                  <v:imagedata r:id="rId42" o:title=""/>
                  <o:lock v:ext="edit" aspectratio="t"/>
                  <w10:wrap type="none"/>
                  <w10:anchorlock/>
                </v:shape>
                <o:OLEObject Type="Embed" ProgID="Equation.DSMT4" ShapeID="_x0000_i1038" DrawAspect="Content" ObjectID="_1468075738" r:id="rId41">
                  <o:LockedField>false</o:LockedField>
                </o:OLEObject>
              </w:object>
            </w:r>
            <w:r>
              <w:t>——</w:t>
            </w:r>
          </w:p>
        </w:tc>
        <w:tc>
          <w:tcPr>
            <w:tcW w:w="6458" w:type="dxa"/>
            <w:vAlign w:val="center"/>
          </w:tcPr>
          <w:p w14:paraId="07110F38">
            <w:pPr>
              <w:pStyle w:val="63"/>
              <w:spacing w:before="31" w:after="31"/>
            </w:pPr>
            <w:bookmarkStart w:id="110" w:name="_Toc519684037"/>
            <w:bookmarkStart w:id="111" w:name="_Toc515087709"/>
            <w:bookmarkStart w:id="112" w:name="_Toc519683854"/>
            <w:bookmarkStart w:id="113" w:name="_Toc515893914"/>
            <w:r>
              <w:rPr>
                <w:rFonts w:hint="eastAsia"/>
              </w:rPr>
              <w:t>高延性混凝土面层加固时墙体侧向刚度的基准提高系数。</w:t>
            </w:r>
            <w:bookmarkEnd w:id="110"/>
            <w:bookmarkEnd w:id="111"/>
            <w:bookmarkEnd w:id="112"/>
            <w:bookmarkEnd w:id="113"/>
          </w:p>
        </w:tc>
      </w:tr>
    </w:tbl>
    <w:p w14:paraId="69F67D9A">
      <w:pPr>
        <w:spacing w:after="312" w:line="450" w:lineRule="exact"/>
        <w:ind w:firstLine="803"/>
        <w:jc w:val="center"/>
        <w:rPr>
          <w:rFonts w:eastAsia="宋体" w:cs="Times New Roman"/>
          <w:b/>
          <w:snapToGrid w:val="0"/>
          <w:kern w:val="0"/>
          <w:sz w:val="40"/>
        </w:rPr>
      </w:pPr>
    </w:p>
    <w:bookmarkEnd w:id="28"/>
    <w:p w14:paraId="303D7F9F">
      <w:pPr>
        <w:spacing w:after="312" w:line="450" w:lineRule="exact"/>
        <w:ind w:firstLine="803"/>
        <w:jc w:val="center"/>
        <w:rPr>
          <w:rFonts w:eastAsia="宋体" w:cs="Times New Roman"/>
          <w:b/>
          <w:snapToGrid w:val="0"/>
          <w:kern w:val="0"/>
          <w:sz w:val="40"/>
        </w:rPr>
      </w:pPr>
    </w:p>
    <w:p w14:paraId="4255C835">
      <w:pPr>
        <w:spacing w:after="156"/>
        <w:ind w:firstLine="803"/>
        <w:rPr>
          <w:rFonts w:eastAsia="宋体" w:cs="Times New Roman"/>
          <w:b/>
          <w:snapToGrid w:val="0"/>
          <w:kern w:val="0"/>
          <w:sz w:val="40"/>
        </w:rPr>
      </w:pPr>
      <w:r>
        <w:rPr>
          <w:rFonts w:eastAsia="宋体" w:cs="Times New Roman"/>
          <w:b/>
          <w:snapToGrid w:val="0"/>
          <w:kern w:val="0"/>
          <w:sz w:val="40"/>
        </w:rPr>
        <w:br w:type="page"/>
      </w:r>
    </w:p>
    <w:p w14:paraId="2C4EB409">
      <w:pPr>
        <w:pStyle w:val="2"/>
        <w:spacing w:after="312"/>
        <w:rPr>
          <w:snapToGrid w:val="0"/>
        </w:rPr>
      </w:pPr>
      <w:bookmarkStart w:id="114" w:name="_Toc25669"/>
      <w:bookmarkStart w:id="115" w:name="_Toc31426"/>
      <w:bookmarkStart w:id="116" w:name="_Toc31576"/>
      <w:bookmarkStart w:id="117" w:name="_Toc207111704"/>
      <w:r>
        <w:rPr>
          <w:snapToGrid w:val="0"/>
        </w:rPr>
        <w:t>3</w:t>
      </w:r>
      <w:r>
        <w:rPr>
          <w:rFonts w:hint="eastAsia"/>
          <w:snapToGrid w:val="0"/>
        </w:rPr>
        <w:t>基本规定</w:t>
      </w:r>
      <w:bookmarkEnd w:id="29"/>
      <w:bookmarkEnd w:id="30"/>
      <w:bookmarkEnd w:id="31"/>
      <w:bookmarkEnd w:id="114"/>
      <w:bookmarkEnd w:id="115"/>
      <w:bookmarkEnd w:id="116"/>
      <w:bookmarkEnd w:id="117"/>
    </w:p>
    <w:p w14:paraId="6D1F002B">
      <w:pPr>
        <w:pStyle w:val="4"/>
      </w:pPr>
      <w:bookmarkStart w:id="118" w:name="_Hlk206661598"/>
      <w:bookmarkStart w:id="119" w:name="_Ref443724112"/>
      <w:r>
        <w:rPr>
          <w:rFonts w:hint="eastAsia"/>
          <w:b/>
        </w:rPr>
        <w:t xml:space="preserve">3.0.1  </w:t>
      </w:r>
      <w:r>
        <w:rPr>
          <w:rFonts w:hint="eastAsia"/>
        </w:rPr>
        <w:t>砌体结构和混凝土结构加固前，应按现行国家标准《既有建筑鉴定与加固通用规范》GB 55021等有关标准的规定进行鉴定的要求，按本规程的规定进行加固设计、施工和验收。</w:t>
      </w:r>
    </w:p>
    <w:p w14:paraId="59565E91">
      <w:pPr>
        <w:pStyle w:val="4"/>
      </w:pPr>
      <w:r>
        <w:rPr>
          <w:rFonts w:hint="eastAsia"/>
          <w:b/>
        </w:rPr>
        <w:t xml:space="preserve">3.0.3  </w:t>
      </w:r>
      <w:r>
        <w:rPr>
          <w:rFonts w:hint="eastAsia"/>
        </w:rPr>
        <w:t>加固设计工作年限应符合现行国家标准《既有建筑鉴定与加固通用规范》GB 55021及国家有关标准的规定。</w:t>
      </w:r>
    </w:p>
    <w:p w14:paraId="6176BEB6">
      <w:pPr>
        <w:pStyle w:val="4"/>
      </w:pPr>
      <w:r>
        <w:rPr>
          <w:rFonts w:hint="eastAsia"/>
          <w:b/>
        </w:rPr>
        <w:t>3.0.4</w:t>
      </w:r>
      <w:r>
        <w:rPr>
          <w:rFonts w:hint="eastAsia"/>
        </w:rPr>
        <w:t xml:space="preserve">  加固设计应明确结构加固后的用途、使用环境和加固设计工作年限。在加固设计工作年限内，未经鉴定或设计许可，不得改变加固后结构的用途和使用环境。</w:t>
      </w:r>
    </w:p>
    <w:p w14:paraId="237F2463">
      <w:pPr>
        <w:pStyle w:val="4"/>
      </w:pPr>
      <w:r>
        <w:rPr>
          <w:rFonts w:hint="eastAsia"/>
          <w:b/>
        </w:rPr>
        <w:t>3.0.5</w:t>
      </w:r>
      <w:r>
        <w:rPr>
          <w:rFonts w:hint="eastAsia"/>
        </w:rPr>
        <w:t xml:space="preserve">  当加固后使结构质量增大时，应对建筑物地基基础进行验算。</w:t>
      </w:r>
    </w:p>
    <w:p w14:paraId="5FA39C64">
      <w:pPr>
        <w:pStyle w:val="4"/>
        <w:rPr>
          <w:b/>
          <w:strike/>
        </w:rPr>
      </w:pPr>
      <w:r>
        <w:rPr>
          <w:rFonts w:hint="eastAsia"/>
          <w:b/>
        </w:rPr>
        <w:t>3.0.6</w:t>
      </w:r>
      <w:r>
        <w:rPr>
          <w:rFonts w:hint="eastAsia"/>
        </w:rPr>
        <w:t xml:space="preserve">  加固后结构的安全等级，应根据结构破坏后果的严重性、结构的重要性和加固设计工作年限综合确定。</w:t>
      </w:r>
    </w:p>
    <w:p w14:paraId="22B38B89">
      <w:pPr>
        <w:pStyle w:val="4"/>
      </w:pPr>
      <w:r>
        <w:rPr>
          <w:rFonts w:hint="eastAsia"/>
          <w:b/>
        </w:rPr>
        <w:t>3.0.7</w:t>
      </w:r>
      <w:r>
        <w:rPr>
          <w:rFonts w:hint="eastAsia"/>
        </w:rPr>
        <w:t xml:space="preserve">  加固前应按设计的规定卸除或部分卸除作用在结构上的荷载。</w:t>
      </w:r>
    </w:p>
    <w:p w14:paraId="5CFCCD20">
      <w:pPr>
        <w:pStyle w:val="4"/>
      </w:pPr>
      <w:r>
        <w:rPr>
          <w:rFonts w:hint="eastAsia"/>
          <w:b/>
        </w:rPr>
        <w:t>3.0.8</w:t>
      </w:r>
      <w:r>
        <w:rPr>
          <w:rFonts w:hint="eastAsia"/>
        </w:rPr>
        <w:t xml:space="preserve">  对加固过程中可能出现倾斜、失稳、过大变形或坍塌的结构，应在加固设计文件中提出相应的临时性安全措施，并应明确要求施工单位严格执行。</w:t>
      </w:r>
    </w:p>
    <w:p w14:paraId="695633F7">
      <w:pPr>
        <w:pStyle w:val="4"/>
      </w:pPr>
      <w:r>
        <w:rPr>
          <w:rFonts w:hint="eastAsia"/>
          <w:b/>
        </w:rPr>
        <w:t>3.0.9</w:t>
      </w:r>
      <w:r>
        <w:rPr>
          <w:rFonts w:hint="eastAsia"/>
        </w:rPr>
        <w:t xml:space="preserve">  应根据加固部位及其所处环境明确高延性混凝土的耐久性要求。相应耐久性能应满足本规程的有关规定，同时应符合现行国家标准《混凝土结构耐久性设计标准》GB/T 50476的有关规定。</w:t>
      </w:r>
    </w:p>
    <w:p w14:paraId="418530F1">
      <w:pPr>
        <w:pStyle w:val="56"/>
        <w:rPr>
          <w:rFonts w:hAnsi="Calibri" w:eastAsia="宋体" w:cs="Times New Roman"/>
          <w:bCs/>
          <w:snapToGrid w:val="0"/>
          <w:kern w:val="0"/>
          <w:sz w:val="28"/>
        </w:rPr>
      </w:pPr>
      <w:r>
        <w:t>表</w:t>
      </w:r>
      <w:r>
        <w:rPr>
          <w:rFonts w:hint="eastAsia"/>
        </w:rPr>
        <w:t>3.0.9</w:t>
      </w:r>
      <w:r>
        <w:t xml:space="preserve">  </w:t>
      </w:r>
      <w:r>
        <w:rPr>
          <w:rFonts w:hint="eastAsia"/>
        </w:rPr>
        <w:t>受力钢筋的高延性混凝土保护层厚度（mm）</w:t>
      </w:r>
    </w:p>
    <w:tbl>
      <w:tblPr>
        <w:tblStyle w:val="28"/>
        <w:tblpPr w:leftFromText="180" w:rightFromText="180" w:vertAnchor="text" w:horzAnchor="margin" w:tblpY="233"/>
        <w:tblW w:w="4999"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816"/>
        <w:gridCol w:w="1645"/>
        <w:gridCol w:w="2509"/>
        <w:gridCol w:w="3180"/>
      </w:tblGrid>
      <w:tr w14:paraId="39975EF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510" w:type="pct"/>
            <w:gridSpan w:val="2"/>
            <w:vAlign w:val="center"/>
          </w:tcPr>
          <w:p w14:paraId="2DB372A1">
            <w:pPr>
              <w:pStyle w:val="55"/>
              <w:spacing w:before="31" w:after="31"/>
            </w:pPr>
            <w:r>
              <w:rPr>
                <w:rFonts w:hint="eastAsia"/>
              </w:rPr>
              <w:t>环境条件</w:t>
            </w:r>
          </w:p>
        </w:tc>
        <w:tc>
          <w:tcPr>
            <w:tcW w:w="1539" w:type="pct"/>
            <w:vAlign w:val="center"/>
          </w:tcPr>
          <w:p w14:paraId="5841659A">
            <w:pPr>
              <w:pStyle w:val="55"/>
              <w:spacing w:before="31" w:after="31"/>
            </w:pPr>
            <w:r>
              <w:rPr>
                <w:rFonts w:hint="eastAsia"/>
              </w:rPr>
              <w:t>室内正常环境</w:t>
            </w:r>
          </w:p>
        </w:tc>
        <w:tc>
          <w:tcPr>
            <w:tcW w:w="1951" w:type="pct"/>
            <w:vAlign w:val="center"/>
          </w:tcPr>
          <w:p w14:paraId="5FE399FD">
            <w:pPr>
              <w:pStyle w:val="55"/>
              <w:spacing w:before="31" w:after="31"/>
            </w:pPr>
            <w:r>
              <w:rPr>
                <w:rFonts w:hint="eastAsia"/>
              </w:rPr>
              <w:t>露天或室内潮湿环境</w:t>
            </w:r>
          </w:p>
        </w:tc>
      </w:tr>
      <w:tr w14:paraId="5F4DE71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50" w:hRule="atLeast"/>
        </w:trPr>
        <w:tc>
          <w:tcPr>
            <w:tcW w:w="501" w:type="pct"/>
            <w:vMerge w:val="restart"/>
            <w:vAlign w:val="center"/>
          </w:tcPr>
          <w:p w14:paraId="7F2324AF">
            <w:pPr>
              <w:pStyle w:val="55"/>
              <w:spacing w:before="31" w:after="31"/>
            </w:pPr>
            <w:r>
              <w:rPr>
                <w:rFonts w:hint="eastAsia"/>
              </w:rPr>
              <w:t>构件类别</w:t>
            </w:r>
          </w:p>
        </w:tc>
        <w:tc>
          <w:tcPr>
            <w:tcW w:w="1009" w:type="pct"/>
            <w:vAlign w:val="center"/>
          </w:tcPr>
          <w:p w14:paraId="0243508E">
            <w:pPr>
              <w:pStyle w:val="55"/>
              <w:spacing w:before="31" w:after="31"/>
            </w:pPr>
            <w:r>
              <w:rPr>
                <w:rFonts w:hint="eastAsia"/>
              </w:rPr>
              <w:t>墙</w:t>
            </w:r>
          </w:p>
        </w:tc>
        <w:tc>
          <w:tcPr>
            <w:tcW w:w="1539" w:type="pct"/>
            <w:vAlign w:val="center"/>
          </w:tcPr>
          <w:p w14:paraId="6B75F82D">
            <w:pPr>
              <w:pStyle w:val="55"/>
              <w:spacing w:before="31" w:after="31"/>
            </w:pPr>
            <w:r>
              <w:rPr>
                <w:rFonts w:hint="eastAsia"/>
              </w:rPr>
              <w:t>15</w:t>
            </w:r>
          </w:p>
        </w:tc>
        <w:tc>
          <w:tcPr>
            <w:tcW w:w="1951" w:type="pct"/>
            <w:vAlign w:val="center"/>
          </w:tcPr>
          <w:p w14:paraId="27BED714">
            <w:pPr>
              <w:pStyle w:val="55"/>
              <w:spacing w:before="31" w:after="31"/>
            </w:pPr>
            <w:r>
              <w:rPr>
                <w:rFonts w:hint="eastAsia"/>
              </w:rPr>
              <w:t>20</w:t>
            </w:r>
          </w:p>
        </w:tc>
      </w:tr>
      <w:tr w14:paraId="67A34C4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01" w:type="pct"/>
            <w:vMerge w:val="continue"/>
            <w:tcBorders>
              <w:bottom w:val="single" w:color="000000" w:sz="12" w:space="0"/>
            </w:tcBorders>
            <w:vAlign w:val="center"/>
          </w:tcPr>
          <w:p w14:paraId="4AA657FC">
            <w:pPr>
              <w:pStyle w:val="55"/>
              <w:spacing w:before="31" w:after="31"/>
            </w:pPr>
          </w:p>
        </w:tc>
        <w:tc>
          <w:tcPr>
            <w:tcW w:w="1009" w:type="pct"/>
            <w:tcBorders>
              <w:bottom w:val="single" w:color="000000" w:sz="12" w:space="0"/>
            </w:tcBorders>
            <w:vAlign w:val="center"/>
          </w:tcPr>
          <w:p w14:paraId="6A8A2C18">
            <w:pPr>
              <w:pStyle w:val="55"/>
              <w:spacing w:before="31" w:after="31"/>
            </w:pPr>
            <w:r>
              <w:rPr>
                <w:rFonts w:hint="eastAsia"/>
              </w:rPr>
              <w:t>梁、柱</w:t>
            </w:r>
          </w:p>
        </w:tc>
        <w:tc>
          <w:tcPr>
            <w:tcW w:w="1539" w:type="pct"/>
            <w:tcBorders>
              <w:bottom w:val="single" w:color="000000" w:sz="12" w:space="0"/>
            </w:tcBorders>
            <w:vAlign w:val="center"/>
          </w:tcPr>
          <w:p w14:paraId="51CA94D8">
            <w:pPr>
              <w:pStyle w:val="55"/>
              <w:spacing w:before="31" w:after="31"/>
            </w:pPr>
            <w:r>
              <w:rPr>
                <w:rFonts w:hint="eastAsia"/>
              </w:rPr>
              <w:t>20</w:t>
            </w:r>
          </w:p>
        </w:tc>
        <w:tc>
          <w:tcPr>
            <w:tcW w:w="1951" w:type="pct"/>
            <w:tcBorders>
              <w:bottom w:val="single" w:color="000000" w:sz="12" w:space="0"/>
            </w:tcBorders>
            <w:vAlign w:val="center"/>
          </w:tcPr>
          <w:p w14:paraId="63BD1389">
            <w:pPr>
              <w:pStyle w:val="55"/>
              <w:spacing w:before="31" w:after="31"/>
            </w:pPr>
            <w:r>
              <w:rPr>
                <w:rFonts w:hint="eastAsia"/>
              </w:rPr>
              <w:t>25</w:t>
            </w:r>
          </w:p>
        </w:tc>
      </w:tr>
    </w:tbl>
    <w:p w14:paraId="43A58FA9">
      <w:pPr>
        <w:ind w:firstLine="420"/>
      </w:pPr>
    </w:p>
    <w:p w14:paraId="2B1487CA">
      <w:pPr>
        <w:pStyle w:val="4"/>
      </w:pPr>
      <w:r>
        <w:rPr>
          <w:rFonts w:hint="eastAsia"/>
          <w:b/>
        </w:rPr>
        <w:t xml:space="preserve">3.0.10  </w:t>
      </w:r>
      <w:r>
        <w:rPr>
          <w:rFonts w:hint="eastAsia"/>
        </w:rPr>
        <w:t>采用配筋高延性混凝土面层加固时，受力钢筋的高延性混凝土保护层厚度不应小于表3.0.9的规定。</w:t>
      </w:r>
    </w:p>
    <w:bookmarkEnd w:id="118"/>
    <w:p w14:paraId="104267F7">
      <w:pPr>
        <w:pStyle w:val="4"/>
      </w:pPr>
      <w:bookmarkStart w:id="120" w:name="_Hlk206678651"/>
      <w:r>
        <w:rPr>
          <w:rFonts w:hint="eastAsia"/>
          <w:b/>
        </w:rPr>
        <w:t xml:space="preserve">3.0.11 </w:t>
      </w:r>
      <w:r>
        <w:rPr>
          <w:rFonts w:hint="eastAsia"/>
        </w:rPr>
        <w:t xml:space="preserve"> 加固后的高延性混凝土的应用环境温度不宜超过</w:t>
      </w:r>
      <w:r>
        <w:t>90°</w:t>
      </w:r>
      <w:r>
        <w:rPr>
          <w:rFonts w:hint="eastAsia"/>
        </w:rPr>
        <w:t>C。当使用环境温度超过90</w:t>
      </w:r>
      <w:r>
        <w:t>°</w:t>
      </w:r>
      <w:r>
        <w:rPr>
          <w:rFonts w:hint="eastAsia"/>
        </w:rPr>
        <w:t>C时，应采取隔热措施。</w:t>
      </w:r>
    </w:p>
    <w:bookmarkEnd w:id="120"/>
    <w:p w14:paraId="5E9B2F18">
      <w:pPr>
        <w:numPr>
          <w:ilvl w:val="3"/>
          <w:numId w:val="0"/>
        </w:numPr>
        <w:spacing w:after="312" w:line="450" w:lineRule="exact"/>
        <w:rPr>
          <w:rFonts w:eastAsia="宋体" w:cs="Times New Roman"/>
          <w:b/>
          <w:bCs/>
          <w:snapToGrid w:val="0"/>
          <w:kern w:val="0"/>
          <w:sz w:val="28"/>
        </w:rPr>
      </w:pPr>
    </w:p>
    <w:p w14:paraId="026A86B0">
      <w:pPr>
        <w:numPr>
          <w:ilvl w:val="3"/>
          <w:numId w:val="0"/>
        </w:numPr>
        <w:spacing w:after="156" w:line="450" w:lineRule="exact"/>
        <w:rPr>
          <w:rFonts w:eastAsia="宋体" w:cs="Times New Roman"/>
          <w:bCs/>
          <w:snapToGrid w:val="0"/>
          <w:kern w:val="0"/>
          <w:sz w:val="28"/>
        </w:rPr>
      </w:pPr>
      <w:r>
        <w:rPr>
          <w:rFonts w:eastAsia="宋体" w:cs="Times New Roman"/>
          <w:bCs/>
          <w:snapToGrid w:val="0"/>
          <w:kern w:val="0"/>
          <w:sz w:val="28"/>
        </w:rPr>
        <w:br w:type="page"/>
      </w:r>
    </w:p>
    <w:bookmarkEnd w:id="119"/>
    <w:p w14:paraId="14EF5971">
      <w:pPr>
        <w:pStyle w:val="2"/>
        <w:spacing w:after="312"/>
        <w:rPr>
          <w:snapToGrid w:val="0"/>
        </w:rPr>
      </w:pPr>
      <w:bookmarkStart w:id="121" w:name="_Toc31445"/>
      <w:bookmarkStart w:id="122" w:name="_Toc207111705"/>
      <w:bookmarkStart w:id="123" w:name="_Toc16400"/>
      <w:bookmarkStart w:id="124" w:name="_Toc12170"/>
      <w:bookmarkStart w:id="125" w:name="_Toc445196917"/>
      <w:bookmarkStart w:id="126" w:name="_Toc447815301"/>
      <w:bookmarkStart w:id="127" w:name="_Toc447816581"/>
      <w:bookmarkStart w:id="128" w:name="_Toc451067017"/>
      <w:bookmarkStart w:id="129" w:name="_Toc447817571"/>
      <w:r>
        <w:rPr>
          <w:rFonts w:hint="eastAsia"/>
          <w:snapToGrid w:val="0"/>
        </w:rPr>
        <w:t xml:space="preserve">4  </w:t>
      </w:r>
      <w:bookmarkEnd w:id="121"/>
      <w:bookmarkStart w:id="130" w:name="_Hlk206678843"/>
      <w:r>
        <w:rPr>
          <w:rFonts w:hint="eastAsia"/>
          <w:snapToGrid w:val="0"/>
        </w:rPr>
        <w:t>材料</w:t>
      </w:r>
      <w:bookmarkEnd w:id="122"/>
      <w:bookmarkEnd w:id="123"/>
      <w:bookmarkEnd w:id="124"/>
      <w:bookmarkEnd w:id="130"/>
    </w:p>
    <w:bookmarkEnd w:id="125"/>
    <w:bookmarkEnd w:id="126"/>
    <w:bookmarkEnd w:id="127"/>
    <w:bookmarkEnd w:id="128"/>
    <w:bookmarkEnd w:id="129"/>
    <w:p w14:paraId="66AF866B">
      <w:pPr>
        <w:pStyle w:val="3"/>
      </w:pPr>
      <w:bookmarkStart w:id="131" w:name="_Toc4860"/>
      <w:bookmarkStart w:id="132" w:name="_Toc207111706"/>
      <w:bookmarkStart w:id="133" w:name="_Toc27007"/>
      <w:bookmarkStart w:id="134" w:name="_Toc31471"/>
      <w:r>
        <w:t xml:space="preserve">4.1  </w:t>
      </w:r>
      <w:bookmarkStart w:id="135" w:name="_Hlk206678860"/>
      <w:r>
        <w:t>原材料</w:t>
      </w:r>
      <w:bookmarkEnd w:id="131"/>
      <w:bookmarkEnd w:id="132"/>
      <w:bookmarkEnd w:id="133"/>
      <w:bookmarkEnd w:id="134"/>
      <w:bookmarkEnd w:id="135"/>
    </w:p>
    <w:p w14:paraId="76C4B3C6">
      <w:pPr>
        <w:pStyle w:val="4"/>
        <w:rPr>
          <w:rStyle w:val="45"/>
          <w:sz w:val="21"/>
          <w:szCs w:val="32"/>
        </w:rPr>
      </w:pPr>
      <w:bookmarkStart w:id="136" w:name="_Ref440811043"/>
      <w:bookmarkStart w:id="137" w:name="_Toc447815303"/>
      <w:bookmarkStart w:id="138" w:name="_Hlk206685555"/>
      <w:r>
        <w:rPr>
          <w:rStyle w:val="45"/>
          <w:rFonts w:hint="eastAsia"/>
          <w:b/>
          <w:bCs w:val="0"/>
          <w:sz w:val="21"/>
          <w:szCs w:val="32"/>
        </w:rPr>
        <w:t xml:space="preserve">4.1.1  </w:t>
      </w:r>
      <w:r>
        <w:rPr>
          <w:rStyle w:val="45"/>
          <w:rFonts w:hint="eastAsia"/>
          <w:sz w:val="21"/>
          <w:szCs w:val="32"/>
        </w:rPr>
        <w:t>高延性混凝土宜采用合成纤维作为增韧材料，合成纤维应为单丝纤维或粗纤维。合成纤维的规格应符合表4.1.1-1的规定；合成纤维的力学性能应符合表4.1.1-2的规定，其他性能应满足现行国家标准《水泥混凝土和砂浆用合成纤维》GB/T 21120的规定。</w:t>
      </w:r>
    </w:p>
    <w:p w14:paraId="7331AB43">
      <w:pPr>
        <w:pStyle w:val="56"/>
      </w:pPr>
      <w:r>
        <w:t>表4.</w:t>
      </w:r>
      <w:r>
        <w:rPr>
          <w:rFonts w:hint="eastAsia"/>
        </w:rPr>
        <w:t>1</w:t>
      </w:r>
      <w:r>
        <w:t>.</w:t>
      </w:r>
      <w:r>
        <w:rPr>
          <w:rFonts w:hint="eastAsia"/>
        </w:rPr>
        <w:t>1</w:t>
      </w:r>
      <w:r>
        <w:t>-1  合成纤维的规格</w:t>
      </w:r>
    </w:p>
    <w:tbl>
      <w:tblPr>
        <w:tblStyle w:val="28"/>
        <w:tblW w:w="4865" w:type="pct"/>
        <w:tblInd w:w="109"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927"/>
        <w:gridCol w:w="4079"/>
        <w:gridCol w:w="1926"/>
      </w:tblGrid>
      <w:tr w14:paraId="0D20F00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215" w:type="pct"/>
            <w:tcBorders>
              <w:top w:val="single" w:color="000000" w:sz="12" w:space="0"/>
            </w:tcBorders>
            <w:vAlign w:val="center"/>
          </w:tcPr>
          <w:p w14:paraId="53841EC0">
            <w:pPr>
              <w:pStyle w:val="55"/>
              <w:spacing w:before="31" w:after="31"/>
            </w:pPr>
            <w:r>
              <w:t>外  形</w:t>
            </w:r>
          </w:p>
        </w:tc>
        <w:tc>
          <w:tcPr>
            <w:tcW w:w="2571" w:type="pct"/>
            <w:tcBorders>
              <w:top w:val="single" w:color="000000" w:sz="12" w:space="0"/>
            </w:tcBorders>
            <w:vAlign w:val="center"/>
          </w:tcPr>
          <w:p w14:paraId="0E9C9DDE">
            <w:pPr>
              <w:pStyle w:val="55"/>
              <w:spacing w:before="31" w:after="31"/>
            </w:pPr>
            <w:r>
              <w:t>公称长度（mm）</w:t>
            </w:r>
          </w:p>
        </w:tc>
        <w:tc>
          <w:tcPr>
            <w:tcW w:w="1215" w:type="pct"/>
            <w:tcBorders>
              <w:top w:val="single" w:color="000000" w:sz="12" w:space="0"/>
            </w:tcBorders>
            <w:vAlign w:val="center"/>
          </w:tcPr>
          <w:p w14:paraId="296119A1">
            <w:pPr>
              <w:pStyle w:val="55"/>
              <w:spacing w:before="31" w:after="31"/>
            </w:pPr>
            <w:r>
              <w:t>当量直径（</w:t>
            </w:r>
            <w:r>
              <w:rPr/>
              <w:sym w:font="Symbol" w:char="F06D"/>
            </w:r>
            <w:r>
              <w:t>m）</w:t>
            </w:r>
          </w:p>
        </w:tc>
      </w:tr>
      <w:tr w14:paraId="475CF60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215" w:type="pct"/>
            <w:vAlign w:val="center"/>
          </w:tcPr>
          <w:p w14:paraId="43A4513F">
            <w:pPr>
              <w:pStyle w:val="55"/>
              <w:spacing w:before="31" w:after="31"/>
            </w:pPr>
            <w:r>
              <w:t>单丝纤维</w:t>
            </w:r>
          </w:p>
        </w:tc>
        <w:tc>
          <w:tcPr>
            <w:tcW w:w="2571" w:type="pct"/>
            <w:vAlign w:val="center"/>
          </w:tcPr>
          <w:p w14:paraId="11CDB388">
            <w:pPr>
              <w:pStyle w:val="55"/>
              <w:spacing w:before="31" w:after="31"/>
            </w:pPr>
            <w:r>
              <w:t>4~</w:t>
            </w:r>
            <w:r>
              <w:rPr>
                <w:rFonts w:hint="eastAsia"/>
              </w:rPr>
              <w:t>15</w:t>
            </w:r>
          </w:p>
        </w:tc>
        <w:tc>
          <w:tcPr>
            <w:tcW w:w="1215" w:type="pct"/>
            <w:vAlign w:val="center"/>
          </w:tcPr>
          <w:p w14:paraId="1B6D337D">
            <w:pPr>
              <w:pStyle w:val="55"/>
              <w:spacing w:before="31" w:after="31"/>
            </w:pPr>
            <w:r>
              <w:t>12~50</w:t>
            </w:r>
          </w:p>
        </w:tc>
      </w:tr>
    </w:tbl>
    <w:p w14:paraId="0714D1F9">
      <w:pPr>
        <w:pStyle w:val="56"/>
      </w:pPr>
      <w:r>
        <w:t>表4.</w:t>
      </w:r>
      <w:r>
        <w:rPr>
          <w:rFonts w:hint="eastAsia"/>
        </w:rPr>
        <w:t>1</w:t>
      </w:r>
      <w:r>
        <w:t>.</w:t>
      </w:r>
      <w:r>
        <w:rPr>
          <w:rFonts w:hint="eastAsia"/>
        </w:rPr>
        <w:t>1</w:t>
      </w:r>
      <w:r>
        <w:t>-2  合成纤维的力学性能</w:t>
      </w:r>
    </w:p>
    <w:tbl>
      <w:tblPr>
        <w:tblStyle w:val="28"/>
        <w:tblW w:w="4865" w:type="pct"/>
        <w:tblInd w:w="97"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120"/>
        <w:gridCol w:w="3089"/>
        <w:gridCol w:w="1723"/>
      </w:tblGrid>
      <w:tr w14:paraId="0639C5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2" w:hRule="atLeast"/>
        </w:trPr>
        <w:tc>
          <w:tcPr>
            <w:tcW w:w="1967" w:type="pct"/>
            <w:vMerge w:val="restart"/>
            <w:vAlign w:val="center"/>
          </w:tcPr>
          <w:p w14:paraId="44C7FBB9">
            <w:pPr>
              <w:pStyle w:val="55"/>
              <w:spacing w:before="31" w:after="31"/>
            </w:pPr>
            <w:r>
              <w:t>项  目</w:t>
            </w:r>
          </w:p>
        </w:tc>
        <w:tc>
          <w:tcPr>
            <w:tcW w:w="1947" w:type="pct"/>
            <w:vAlign w:val="center"/>
          </w:tcPr>
          <w:p w14:paraId="4710BFDF">
            <w:pPr>
              <w:pStyle w:val="55"/>
              <w:spacing w:before="31" w:after="31"/>
            </w:pPr>
            <w:r>
              <w:t>力学性能</w:t>
            </w:r>
          </w:p>
        </w:tc>
        <w:tc>
          <w:tcPr>
            <w:tcW w:w="1086" w:type="pct"/>
            <w:vMerge w:val="restart"/>
            <w:vAlign w:val="center"/>
          </w:tcPr>
          <w:p w14:paraId="689DBBC8">
            <w:pPr>
              <w:pStyle w:val="55"/>
              <w:spacing w:before="31" w:after="31"/>
            </w:pPr>
            <w:r>
              <w:t>试验方法</w:t>
            </w:r>
          </w:p>
        </w:tc>
      </w:tr>
      <w:tr w14:paraId="27F809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2" w:hRule="atLeast"/>
        </w:trPr>
        <w:tc>
          <w:tcPr>
            <w:tcW w:w="1967" w:type="pct"/>
            <w:vMerge w:val="continue"/>
            <w:vAlign w:val="center"/>
          </w:tcPr>
          <w:p w14:paraId="71594FF4">
            <w:pPr>
              <w:pStyle w:val="55"/>
              <w:spacing w:before="31" w:after="31"/>
            </w:pPr>
          </w:p>
        </w:tc>
        <w:tc>
          <w:tcPr>
            <w:tcW w:w="1947" w:type="pct"/>
            <w:vAlign w:val="center"/>
          </w:tcPr>
          <w:p w14:paraId="32F2D5FA">
            <w:pPr>
              <w:pStyle w:val="55"/>
              <w:spacing w:before="31" w:after="31"/>
            </w:pPr>
            <w:r>
              <w:t>单丝纤维</w:t>
            </w:r>
          </w:p>
        </w:tc>
        <w:tc>
          <w:tcPr>
            <w:tcW w:w="1086" w:type="pct"/>
            <w:vMerge w:val="continue"/>
            <w:vAlign w:val="center"/>
          </w:tcPr>
          <w:p w14:paraId="2907B6AE">
            <w:pPr>
              <w:pStyle w:val="55"/>
              <w:spacing w:before="31" w:after="31"/>
            </w:pPr>
          </w:p>
        </w:tc>
      </w:tr>
      <w:tr w14:paraId="0B6E65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67" w:type="pct"/>
            <w:vAlign w:val="center"/>
          </w:tcPr>
          <w:p w14:paraId="718D863D">
            <w:pPr>
              <w:pStyle w:val="55"/>
              <w:spacing w:before="31" w:after="31"/>
            </w:pPr>
            <w:r>
              <w:t>断裂强度（N/mm2）</w:t>
            </w:r>
          </w:p>
        </w:tc>
        <w:tc>
          <w:tcPr>
            <w:tcW w:w="1947" w:type="pct"/>
            <w:vAlign w:val="center"/>
          </w:tcPr>
          <w:p w14:paraId="55CFB678">
            <w:pPr>
              <w:pStyle w:val="55"/>
              <w:spacing w:before="31" w:after="31"/>
            </w:pPr>
            <w:r>
              <w:rPr>
                <w:rFonts w:hint="eastAsia"/>
              </w:rPr>
              <w:t>≥</w:t>
            </w:r>
            <w:r>
              <w:t>1200</w:t>
            </w:r>
          </w:p>
        </w:tc>
        <w:tc>
          <w:tcPr>
            <w:tcW w:w="1086" w:type="pct"/>
            <w:vMerge w:val="restart"/>
            <w:vAlign w:val="center"/>
          </w:tcPr>
          <w:p w14:paraId="1C97ED11">
            <w:pPr>
              <w:pStyle w:val="55"/>
              <w:spacing w:before="31" w:after="31"/>
            </w:pPr>
            <w:r>
              <w:t>GB/T 21120</w:t>
            </w:r>
          </w:p>
        </w:tc>
      </w:tr>
      <w:tr w14:paraId="7B3B31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67" w:type="pct"/>
            <w:vAlign w:val="center"/>
          </w:tcPr>
          <w:p w14:paraId="254B7952">
            <w:pPr>
              <w:pStyle w:val="55"/>
              <w:spacing w:before="31" w:after="31"/>
            </w:pPr>
            <w:r>
              <w:t>初始模量（N/mm2）</w:t>
            </w:r>
          </w:p>
        </w:tc>
        <w:tc>
          <w:tcPr>
            <w:tcW w:w="1947" w:type="pct"/>
            <w:vAlign w:val="center"/>
          </w:tcPr>
          <w:p w14:paraId="754C32F4">
            <w:pPr>
              <w:pStyle w:val="55"/>
              <w:spacing w:before="31" w:after="31"/>
            </w:pPr>
            <w:r>
              <w:rPr>
                <w:rFonts w:hint="eastAsia"/>
              </w:rPr>
              <w:t>≥</w:t>
            </w:r>
            <w:r>
              <w:t>3</w:t>
            </w:r>
            <w:r>
              <w:rPr>
                <w:rFonts w:hint="eastAsia"/>
              </w:rPr>
              <w:t>0</w:t>
            </w:r>
            <w:r>
              <w:t>.0</w:t>
            </w:r>
            <w:r>
              <w:rPr/>
              <w:sym w:font="Symbol" w:char="F0B4"/>
            </w:r>
            <w:r>
              <w:t>10</w:t>
            </w:r>
            <w:r>
              <w:rPr>
                <w:rFonts w:hint="eastAsia"/>
              </w:rPr>
              <w:t>3</w:t>
            </w:r>
          </w:p>
        </w:tc>
        <w:tc>
          <w:tcPr>
            <w:tcW w:w="1086" w:type="pct"/>
            <w:vMerge w:val="continue"/>
            <w:vAlign w:val="center"/>
          </w:tcPr>
          <w:p w14:paraId="074B9FB9">
            <w:pPr>
              <w:pStyle w:val="55"/>
              <w:spacing w:before="31" w:after="31"/>
            </w:pPr>
          </w:p>
        </w:tc>
      </w:tr>
      <w:tr w14:paraId="3884CA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67" w:type="pct"/>
            <w:vAlign w:val="center"/>
          </w:tcPr>
          <w:p w14:paraId="28D4DBEC">
            <w:pPr>
              <w:pStyle w:val="55"/>
              <w:spacing w:before="31" w:after="31"/>
            </w:pPr>
            <w:r>
              <w:t>断裂伸长率（%）</w:t>
            </w:r>
          </w:p>
        </w:tc>
        <w:tc>
          <w:tcPr>
            <w:tcW w:w="1947" w:type="pct"/>
            <w:vAlign w:val="center"/>
          </w:tcPr>
          <w:p w14:paraId="0905A250">
            <w:pPr>
              <w:pStyle w:val="55"/>
              <w:spacing w:before="31" w:after="31"/>
            </w:pPr>
            <w:r>
              <w:t>2.0~8.0</w:t>
            </w:r>
          </w:p>
        </w:tc>
        <w:tc>
          <w:tcPr>
            <w:tcW w:w="1086" w:type="pct"/>
            <w:vMerge w:val="continue"/>
            <w:vAlign w:val="center"/>
          </w:tcPr>
          <w:p w14:paraId="383085AB">
            <w:pPr>
              <w:pStyle w:val="55"/>
              <w:spacing w:before="31" w:after="31"/>
            </w:pPr>
          </w:p>
        </w:tc>
      </w:tr>
      <w:tr w14:paraId="59DE91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67" w:type="pct"/>
            <w:vAlign w:val="center"/>
          </w:tcPr>
          <w:p w14:paraId="594E5255">
            <w:pPr>
              <w:pStyle w:val="55"/>
              <w:spacing w:before="31" w:after="31"/>
            </w:pPr>
            <w:r>
              <w:t>耐碱性能（极限拉力保持率）（%）</w:t>
            </w:r>
          </w:p>
        </w:tc>
        <w:tc>
          <w:tcPr>
            <w:tcW w:w="1947" w:type="pct"/>
            <w:vAlign w:val="center"/>
          </w:tcPr>
          <w:p w14:paraId="2CB9631E">
            <w:pPr>
              <w:pStyle w:val="55"/>
              <w:spacing w:before="31" w:after="31"/>
            </w:pPr>
            <w:r>
              <w:rPr>
                <w:rFonts w:hint="eastAsia"/>
              </w:rPr>
              <w:t>≥</w:t>
            </w:r>
            <w:r>
              <w:t>95</w:t>
            </w:r>
            <w:r>
              <w:rPr>
                <w:rFonts w:hint="eastAsia"/>
              </w:rPr>
              <w:t>.0</w:t>
            </w:r>
          </w:p>
        </w:tc>
        <w:tc>
          <w:tcPr>
            <w:tcW w:w="1086" w:type="pct"/>
            <w:vMerge w:val="continue"/>
            <w:vAlign w:val="center"/>
          </w:tcPr>
          <w:p w14:paraId="5F1C4060">
            <w:pPr>
              <w:pStyle w:val="55"/>
              <w:spacing w:before="31" w:after="31"/>
            </w:pPr>
          </w:p>
        </w:tc>
      </w:tr>
    </w:tbl>
    <w:p w14:paraId="7051CF28">
      <w:pPr>
        <w:ind w:firstLine="422"/>
        <w:rPr>
          <w:bCs/>
        </w:rPr>
      </w:pPr>
      <w:r>
        <w:rPr>
          <w:rFonts w:hint="eastAsia"/>
          <w:b/>
        </w:rPr>
        <w:t xml:space="preserve">4.1.2  </w:t>
      </w:r>
      <w:r>
        <w:rPr>
          <w:rFonts w:hint="eastAsia"/>
          <w:bCs/>
        </w:rPr>
        <w:t>水泥应符合现行国家标准《通用硅酸盐水泥》GB 175的有关规定。</w:t>
      </w:r>
    </w:p>
    <w:p w14:paraId="0D851244">
      <w:pPr>
        <w:ind w:firstLine="422"/>
        <w:rPr>
          <w:bCs/>
        </w:rPr>
      </w:pPr>
      <w:r>
        <w:rPr>
          <w:rFonts w:hint="eastAsia"/>
          <w:b/>
        </w:rPr>
        <w:t xml:space="preserve">4.1.3  </w:t>
      </w:r>
      <w:r>
        <w:rPr>
          <w:rFonts w:hint="eastAsia"/>
          <w:bCs/>
        </w:rPr>
        <w:t>细骨料应符合现行国家标准《建设用砂》GB/T 14684的有关规定。</w:t>
      </w:r>
    </w:p>
    <w:p w14:paraId="451A815C">
      <w:pPr>
        <w:ind w:firstLine="422"/>
        <w:rPr>
          <w:bCs/>
        </w:rPr>
      </w:pPr>
      <w:r>
        <w:rPr>
          <w:rFonts w:hint="eastAsia"/>
          <w:b/>
        </w:rPr>
        <w:t xml:space="preserve">4.1.4  </w:t>
      </w:r>
      <w:r>
        <w:rPr>
          <w:rFonts w:hint="eastAsia"/>
          <w:bCs/>
        </w:rPr>
        <w:t>外加剂应符合现行国家标准《混凝土外加剂》GB 8076和《混凝土外加剂应用技术规范》GB 50119的规定。</w:t>
      </w:r>
    </w:p>
    <w:p w14:paraId="24E18B47">
      <w:pPr>
        <w:ind w:firstLine="422"/>
        <w:rPr>
          <w:bCs/>
        </w:rPr>
      </w:pPr>
      <w:r>
        <w:rPr>
          <w:rFonts w:hint="eastAsia"/>
          <w:b/>
        </w:rPr>
        <w:t xml:space="preserve">4.1.5  </w:t>
      </w:r>
      <w:r>
        <w:rPr>
          <w:rFonts w:hint="eastAsia"/>
          <w:bCs/>
        </w:rPr>
        <w:t>粉煤灰应符合现行国家标准《用于水泥和混凝土中的粉煤灰》GB/T 1596的有关规定。</w:t>
      </w:r>
    </w:p>
    <w:p w14:paraId="7BA8E8FF">
      <w:pPr>
        <w:ind w:firstLine="422"/>
        <w:rPr>
          <w:bCs/>
        </w:rPr>
      </w:pPr>
      <w:r>
        <w:rPr>
          <w:rFonts w:hint="eastAsia"/>
          <w:b/>
        </w:rPr>
        <w:t xml:space="preserve">4.1.6  </w:t>
      </w:r>
      <w:r>
        <w:rPr>
          <w:rFonts w:hint="eastAsia"/>
          <w:bCs/>
        </w:rPr>
        <w:t>粒化高炉矿渣粉应符合现行国家标准《用于水泥、砂浆和混凝土中的粒化高炉矿渣粉》GB/T 18046的规定。</w:t>
      </w:r>
    </w:p>
    <w:p w14:paraId="19FF8669">
      <w:pPr>
        <w:ind w:firstLine="422"/>
        <w:rPr>
          <w:bCs/>
        </w:rPr>
      </w:pPr>
      <w:r>
        <w:rPr>
          <w:rFonts w:hint="eastAsia"/>
          <w:b/>
        </w:rPr>
        <w:t xml:space="preserve">4.1.7  </w:t>
      </w:r>
      <w:r>
        <w:rPr>
          <w:rFonts w:hint="eastAsia"/>
          <w:bCs/>
        </w:rPr>
        <w:t>拌合用水应符合现行行业标准《混凝土用水标准》JGJ63的有关规定。</w:t>
      </w:r>
    </w:p>
    <w:p w14:paraId="7AD422B6">
      <w:pPr>
        <w:ind w:firstLine="422"/>
        <w:rPr>
          <w:bCs/>
        </w:rPr>
      </w:pPr>
      <w:r>
        <w:rPr>
          <w:rFonts w:hint="eastAsia"/>
          <w:b/>
        </w:rPr>
        <w:t xml:space="preserve">4.1.8  </w:t>
      </w:r>
      <w:r>
        <w:rPr>
          <w:rFonts w:hint="eastAsia"/>
          <w:bCs/>
        </w:rPr>
        <w:t>钢材及焊接材料应符合现行国家标准《砌体结构加固设计规范》GB 50702及《混凝土结构加固设计规范》GB 50367的有关规定。</w:t>
      </w:r>
    </w:p>
    <w:p w14:paraId="3744A5A4">
      <w:pPr>
        <w:ind w:firstLine="422"/>
        <w:rPr>
          <w:bCs/>
        </w:rPr>
      </w:pPr>
      <w:r>
        <w:rPr>
          <w:rFonts w:hint="eastAsia"/>
          <w:b/>
        </w:rPr>
        <w:t xml:space="preserve">4.1.9  </w:t>
      </w:r>
      <w:r>
        <w:rPr>
          <w:rFonts w:hint="eastAsia"/>
          <w:bCs/>
        </w:rPr>
        <w:t>结构胶粘剂应符合现行国家标准《砌体结构加固设计规范》GB 50702及《混凝土结构加固设计规范》GB 50367的有关规定。</w:t>
      </w:r>
    </w:p>
    <w:bookmarkEnd w:id="136"/>
    <w:bookmarkEnd w:id="137"/>
    <w:bookmarkEnd w:id="138"/>
    <w:p w14:paraId="3C5369DC">
      <w:pPr>
        <w:pStyle w:val="3"/>
      </w:pPr>
      <w:bookmarkStart w:id="139" w:name="_Toc447817572"/>
      <w:bookmarkStart w:id="140" w:name="_Toc451067018"/>
      <w:bookmarkStart w:id="141" w:name="_Toc447816582"/>
      <w:bookmarkStart w:id="142" w:name="_Toc445196918"/>
      <w:bookmarkStart w:id="143" w:name="_Toc447815304"/>
      <w:bookmarkStart w:id="144" w:name="_Toc24054"/>
      <w:bookmarkStart w:id="145" w:name="_Toc11485"/>
      <w:bookmarkStart w:id="146" w:name="_Toc13234"/>
      <w:bookmarkStart w:id="147" w:name="_Toc207111707"/>
      <w:r>
        <w:t xml:space="preserve">4.2  </w:t>
      </w:r>
      <w:bookmarkEnd w:id="139"/>
      <w:bookmarkEnd w:id="140"/>
      <w:bookmarkEnd w:id="141"/>
      <w:bookmarkEnd w:id="142"/>
      <w:bookmarkEnd w:id="143"/>
      <w:r>
        <w:t>拌合物性能</w:t>
      </w:r>
      <w:bookmarkEnd w:id="144"/>
      <w:bookmarkEnd w:id="145"/>
      <w:bookmarkEnd w:id="146"/>
      <w:bookmarkEnd w:id="147"/>
    </w:p>
    <w:p w14:paraId="6710ECB8">
      <w:pPr>
        <w:pStyle w:val="4"/>
      </w:pPr>
      <w:bookmarkStart w:id="148" w:name="_Toc447815305"/>
      <w:bookmarkStart w:id="149" w:name="_Ref440811797"/>
      <w:r>
        <w:rPr>
          <w:rFonts w:hint="eastAsia"/>
          <w:b/>
          <w:iCs/>
        </w:rPr>
        <w:t xml:space="preserve">4.2.1  </w:t>
      </w:r>
      <w:bookmarkEnd w:id="148"/>
      <w:bookmarkEnd w:id="149"/>
      <w:r>
        <w:rPr>
          <w:rFonts w:hint="eastAsia"/>
        </w:rPr>
        <w:t>高延性混凝土拌合物中的氯化物含量(以氯离子质量计)不应大于0.05%。</w:t>
      </w:r>
    </w:p>
    <w:p w14:paraId="0F5639D8">
      <w:pPr>
        <w:pStyle w:val="4"/>
      </w:pPr>
      <w:bookmarkStart w:id="150" w:name="_Toc447815307"/>
      <w:bookmarkStart w:id="151" w:name="_Ref440811876"/>
      <w:r>
        <w:rPr>
          <w:rFonts w:hint="eastAsia"/>
          <w:b/>
          <w:iCs/>
        </w:rPr>
        <w:t xml:space="preserve">4.2.2  </w:t>
      </w:r>
      <w:bookmarkEnd w:id="150"/>
      <w:bookmarkEnd w:id="151"/>
      <w:r>
        <w:rPr>
          <w:rFonts w:hint="eastAsia"/>
        </w:rPr>
        <w:t>高延性混凝土拌合物应具有良好的工作性，不应出现离析、泌水现象，纤维不应结团。</w:t>
      </w:r>
    </w:p>
    <w:p w14:paraId="79F5D5A1">
      <w:pPr>
        <w:pStyle w:val="4"/>
      </w:pPr>
      <w:r>
        <w:rPr>
          <w:rFonts w:hint="eastAsia"/>
          <w:b/>
          <w:iCs/>
        </w:rPr>
        <w:t>4</w:t>
      </w:r>
      <w:r>
        <w:rPr>
          <w:b/>
          <w:iCs/>
        </w:rPr>
        <w:t xml:space="preserve">.2.3  </w:t>
      </w:r>
      <w:r>
        <w:rPr>
          <w:rFonts w:hint="eastAsia"/>
        </w:rPr>
        <w:t>高延性混凝土，采用人工压抹施工时，其拌合物稠度宜为40mm~80mm，拌合物稠度的测试方法应符合现行行业标准《建筑砂浆基本性能试验方法标准》JGJ/T 70的有关规定。</w:t>
      </w:r>
    </w:p>
    <w:p w14:paraId="67116A3C">
      <w:pPr>
        <w:pStyle w:val="3"/>
      </w:pPr>
      <w:bookmarkStart w:id="152" w:name="_Toc207111708"/>
      <w:bookmarkStart w:id="153" w:name="_Toc7662"/>
      <w:bookmarkStart w:id="154" w:name="_Toc28785"/>
      <w:bookmarkStart w:id="155" w:name="_Toc24577"/>
      <w:r>
        <w:rPr>
          <w:rFonts w:hint="eastAsia"/>
        </w:rPr>
        <w:t xml:space="preserve">4.3  </w:t>
      </w:r>
      <w:r>
        <w:rPr>
          <w:rFonts w:hint="eastAsia"/>
          <w:bCs/>
        </w:rPr>
        <w:t>力学性能</w:t>
      </w:r>
      <w:bookmarkEnd w:id="152"/>
      <w:bookmarkEnd w:id="153"/>
      <w:bookmarkEnd w:id="154"/>
      <w:bookmarkEnd w:id="155"/>
    </w:p>
    <w:p w14:paraId="22257D9B">
      <w:pPr>
        <w:pStyle w:val="4"/>
      </w:pPr>
      <w:r>
        <w:rPr>
          <w:rFonts w:hint="eastAsia"/>
          <w:b/>
          <w:iCs/>
        </w:rPr>
        <w:t xml:space="preserve">4.3.1  </w:t>
      </w:r>
      <w:r>
        <w:rPr>
          <w:rFonts w:hint="eastAsia"/>
        </w:rPr>
        <w:t>高延性混凝土应依据力学性能指标确定高延性混凝土主要类别。高延性混凝土类别应符合表4.3.1的规定。</w:t>
      </w:r>
    </w:p>
    <w:p w14:paraId="135055D0">
      <w:pPr>
        <w:pStyle w:val="56"/>
      </w:pPr>
      <w:bookmarkStart w:id="156" w:name="_Toc445196925"/>
      <w:r>
        <w:t>表4.</w:t>
      </w:r>
      <w:r>
        <w:rPr>
          <w:rFonts w:hint="eastAsia"/>
        </w:rPr>
        <w:t>3</w:t>
      </w:r>
      <w:r>
        <w:t>.1  高延性混凝土</w:t>
      </w:r>
      <w:r>
        <w:rPr>
          <w:rFonts w:hint="eastAsia"/>
        </w:rPr>
        <w:t>类别</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40"/>
        <w:gridCol w:w="1723"/>
        <w:gridCol w:w="973"/>
        <w:gridCol w:w="973"/>
        <w:gridCol w:w="846"/>
        <w:gridCol w:w="1597"/>
      </w:tblGrid>
      <w:tr w14:paraId="30378F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251" w:type="pct"/>
            <w:vMerge w:val="restart"/>
            <w:vAlign w:val="center"/>
          </w:tcPr>
          <w:p w14:paraId="5A884525">
            <w:pPr>
              <w:pStyle w:val="55"/>
              <w:spacing w:before="31" w:after="31"/>
            </w:pPr>
            <w:r>
              <w:rPr>
                <w:rFonts w:hint="eastAsia"/>
              </w:rPr>
              <w:t>性能指标</w:t>
            </w:r>
          </w:p>
        </w:tc>
        <w:tc>
          <w:tcPr>
            <w:tcW w:w="1057" w:type="pct"/>
            <w:vMerge w:val="restart"/>
            <w:vAlign w:val="center"/>
          </w:tcPr>
          <w:p w14:paraId="38D18B30">
            <w:pPr>
              <w:pStyle w:val="55"/>
              <w:spacing w:before="31" w:after="31"/>
            </w:pPr>
            <w:r>
              <w:rPr>
                <w:rFonts w:hint="eastAsia"/>
              </w:rPr>
              <w:t>养护方式</w:t>
            </w:r>
          </w:p>
        </w:tc>
        <w:tc>
          <w:tcPr>
            <w:tcW w:w="1713" w:type="pct"/>
            <w:gridSpan w:val="3"/>
            <w:vAlign w:val="center"/>
          </w:tcPr>
          <w:p w14:paraId="59D575BF">
            <w:pPr>
              <w:pStyle w:val="55"/>
              <w:spacing w:before="31" w:after="31"/>
            </w:pPr>
            <w:r>
              <w:rPr>
                <w:rFonts w:hint="eastAsia"/>
              </w:rPr>
              <w:t>类别</w:t>
            </w:r>
          </w:p>
        </w:tc>
        <w:tc>
          <w:tcPr>
            <w:tcW w:w="979" w:type="pct"/>
            <w:vMerge w:val="restart"/>
            <w:vAlign w:val="center"/>
          </w:tcPr>
          <w:p w14:paraId="6D12FAE6">
            <w:pPr>
              <w:pStyle w:val="55"/>
              <w:spacing w:before="31" w:after="31"/>
            </w:pPr>
            <w:r>
              <w:rPr>
                <w:rFonts w:hint="eastAsia"/>
              </w:rPr>
              <w:t>试验方法</w:t>
            </w:r>
          </w:p>
          <w:p w14:paraId="0C303395">
            <w:pPr>
              <w:pStyle w:val="55"/>
              <w:spacing w:before="31" w:after="31"/>
            </w:pPr>
            <w:r>
              <w:rPr>
                <w:rFonts w:hint="eastAsia"/>
              </w:rPr>
              <w:t>标准</w:t>
            </w:r>
          </w:p>
        </w:tc>
      </w:tr>
      <w:tr w14:paraId="1E8EE1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251" w:type="pct"/>
            <w:vMerge w:val="continue"/>
            <w:vAlign w:val="center"/>
          </w:tcPr>
          <w:p w14:paraId="5E89206D">
            <w:pPr>
              <w:pStyle w:val="55"/>
              <w:spacing w:before="31" w:after="31"/>
            </w:pPr>
          </w:p>
        </w:tc>
        <w:tc>
          <w:tcPr>
            <w:tcW w:w="1057" w:type="pct"/>
            <w:vMerge w:val="continue"/>
            <w:vAlign w:val="center"/>
          </w:tcPr>
          <w:p w14:paraId="4DADEA43">
            <w:pPr>
              <w:pStyle w:val="55"/>
              <w:spacing w:before="31" w:after="31"/>
            </w:pPr>
          </w:p>
        </w:tc>
        <w:tc>
          <w:tcPr>
            <w:tcW w:w="597" w:type="pct"/>
            <w:vAlign w:val="center"/>
          </w:tcPr>
          <w:p w14:paraId="2400DF10">
            <w:pPr>
              <w:pStyle w:val="55"/>
              <w:spacing w:before="31" w:after="31"/>
            </w:pPr>
            <w:r>
              <w:fldChar w:fldCharType="begin"/>
            </w:r>
            <w:r>
              <w:instrText xml:space="preserve"> </w:instrText>
            </w:r>
            <w:r>
              <w:rPr>
                <w:rFonts w:hint="eastAsia"/>
              </w:rPr>
              <w:instrText xml:space="preserve">= 1 \* ROMAN</w:instrText>
            </w:r>
            <w:r>
              <w:instrText xml:space="preserve"> </w:instrText>
            </w:r>
            <w:r>
              <w:fldChar w:fldCharType="separate"/>
            </w:r>
            <w:r>
              <w:t>I</w:t>
            </w:r>
            <w:r>
              <w:fldChar w:fldCharType="end"/>
            </w:r>
            <w:r>
              <w:rPr>
                <w:rFonts w:hint="eastAsia"/>
              </w:rPr>
              <w:t>类</w:t>
            </w:r>
          </w:p>
        </w:tc>
        <w:tc>
          <w:tcPr>
            <w:tcW w:w="597" w:type="pct"/>
            <w:vAlign w:val="center"/>
          </w:tcPr>
          <w:p w14:paraId="507A30AB">
            <w:pPr>
              <w:pStyle w:val="55"/>
              <w:spacing w:before="31" w:after="31"/>
            </w:pPr>
            <w:r>
              <w:fldChar w:fldCharType="begin"/>
            </w:r>
            <w:r>
              <w:instrText xml:space="preserve"> </w:instrText>
            </w:r>
            <w:r>
              <w:rPr>
                <w:rFonts w:hint="eastAsia"/>
              </w:rPr>
              <w:instrText xml:space="preserve">= 2 \* ROMAN</w:instrText>
            </w:r>
            <w:r>
              <w:instrText xml:space="preserve"> </w:instrText>
            </w:r>
            <w:r>
              <w:fldChar w:fldCharType="separate"/>
            </w:r>
            <w:r>
              <w:t>II</w:t>
            </w:r>
            <w:r>
              <w:fldChar w:fldCharType="end"/>
            </w:r>
            <w:r>
              <w:rPr>
                <w:rFonts w:hint="eastAsia"/>
              </w:rPr>
              <w:t>类</w:t>
            </w:r>
          </w:p>
        </w:tc>
        <w:tc>
          <w:tcPr>
            <w:tcW w:w="519" w:type="pct"/>
            <w:vAlign w:val="center"/>
          </w:tcPr>
          <w:p w14:paraId="649DE73C">
            <w:pPr>
              <w:pStyle w:val="55"/>
              <w:spacing w:before="31" w:after="31"/>
            </w:pPr>
            <w:r>
              <w:fldChar w:fldCharType="begin"/>
            </w:r>
            <w:r>
              <w:instrText xml:space="preserve"> </w:instrText>
            </w:r>
            <w:r>
              <w:rPr>
                <w:rFonts w:hint="eastAsia"/>
              </w:rPr>
              <w:instrText xml:space="preserve">= 3 \* ROMAN</w:instrText>
            </w:r>
            <w:r>
              <w:instrText xml:space="preserve"> </w:instrText>
            </w:r>
            <w:r>
              <w:fldChar w:fldCharType="separate"/>
            </w:r>
            <w:r>
              <w:t>III</w:t>
            </w:r>
            <w:r>
              <w:fldChar w:fldCharType="end"/>
            </w:r>
            <w:r>
              <w:rPr>
                <w:rFonts w:hint="eastAsia"/>
              </w:rPr>
              <w:t>类</w:t>
            </w:r>
          </w:p>
        </w:tc>
        <w:tc>
          <w:tcPr>
            <w:tcW w:w="979" w:type="pct"/>
            <w:vMerge w:val="continue"/>
            <w:vAlign w:val="center"/>
          </w:tcPr>
          <w:p w14:paraId="18BCD047">
            <w:pPr>
              <w:pStyle w:val="55"/>
              <w:spacing w:before="31" w:after="31"/>
            </w:pPr>
          </w:p>
        </w:tc>
      </w:tr>
      <w:tr w14:paraId="0AC817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251" w:type="pct"/>
            <w:vMerge w:val="restart"/>
            <w:vAlign w:val="center"/>
          </w:tcPr>
          <w:p w14:paraId="6A67FDF4">
            <w:pPr>
              <w:pStyle w:val="55"/>
              <w:spacing w:before="31" w:after="31"/>
            </w:pPr>
            <w:r>
              <w:t>等效弯曲韧性</w:t>
            </w:r>
          </w:p>
          <w:p w14:paraId="328665B0">
            <w:pPr>
              <w:pStyle w:val="55"/>
              <w:spacing w:before="31" w:after="31"/>
            </w:pPr>
            <w:r>
              <w:t>（kJ/m</w:t>
            </w:r>
            <w:r>
              <w:rPr>
                <w:vertAlign w:val="superscript"/>
              </w:rPr>
              <w:t>3</w:t>
            </w:r>
            <w:r>
              <w:t>）</w:t>
            </w:r>
          </w:p>
        </w:tc>
        <w:tc>
          <w:tcPr>
            <w:tcW w:w="1057" w:type="pct"/>
            <w:vAlign w:val="center"/>
          </w:tcPr>
          <w:p w14:paraId="68F7E7ED">
            <w:pPr>
              <w:pStyle w:val="55"/>
              <w:spacing w:before="31" w:after="31"/>
            </w:pPr>
            <w:r>
              <w:rPr>
                <w:rFonts w:hint="eastAsia"/>
              </w:rPr>
              <w:t>标准养护3d</w:t>
            </w:r>
          </w:p>
        </w:tc>
        <w:tc>
          <w:tcPr>
            <w:tcW w:w="597" w:type="pct"/>
            <w:vAlign w:val="center"/>
          </w:tcPr>
          <w:p w14:paraId="09896AE2">
            <w:pPr>
              <w:pStyle w:val="55"/>
              <w:spacing w:before="31" w:after="31"/>
            </w:pPr>
            <w:r>
              <w:t>≥</w:t>
            </w:r>
            <w:r>
              <w:rPr>
                <w:rFonts w:hint="eastAsia"/>
              </w:rPr>
              <w:t>11</w:t>
            </w:r>
            <w:r>
              <w:t>0.0</w:t>
            </w:r>
          </w:p>
        </w:tc>
        <w:tc>
          <w:tcPr>
            <w:tcW w:w="597" w:type="pct"/>
            <w:vAlign w:val="center"/>
          </w:tcPr>
          <w:p w14:paraId="77D61646">
            <w:pPr>
              <w:pStyle w:val="55"/>
              <w:spacing w:before="31" w:after="31"/>
            </w:pPr>
            <w:r>
              <w:t>≥</w:t>
            </w:r>
            <w:r>
              <w:rPr>
                <w:rFonts w:hint="eastAsia"/>
              </w:rPr>
              <w:t>90</w:t>
            </w:r>
            <w:r>
              <w:t>.0</w:t>
            </w:r>
          </w:p>
        </w:tc>
        <w:tc>
          <w:tcPr>
            <w:tcW w:w="519" w:type="pct"/>
            <w:vAlign w:val="center"/>
          </w:tcPr>
          <w:p w14:paraId="7AB1144A">
            <w:pPr>
              <w:pStyle w:val="55"/>
              <w:spacing w:before="31" w:after="31"/>
            </w:pPr>
            <w:r>
              <w:t>≥</w:t>
            </w:r>
            <w:r>
              <w:rPr>
                <w:rFonts w:hint="eastAsia"/>
              </w:rPr>
              <w:t>70</w:t>
            </w:r>
            <w:r>
              <w:t>.0</w:t>
            </w:r>
          </w:p>
        </w:tc>
        <w:tc>
          <w:tcPr>
            <w:tcW w:w="979" w:type="pct"/>
            <w:vMerge w:val="restart"/>
            <w:vAlign w:val="center"/>
          </w:tcPr>
          <w:p w14:paraId="7664449B">
            <w:pPr>
              <w:pStyle w:val="55"/>
              <w:spacing w:before="31" w:after="31"/>
            </w:pPr>
            <w:r>
              <w:rPr>
                <w:rFonts w:hint="eastAsia"/>
              </w:rPr>
              <w:t>本规程</w:t>
            </w:r>
          </w:p>
          <w:p w14:paraId="7FA8D388">
            <w:pPr>
              <w:pStyle w:val="55"/>
              <w:spacing w:before="31" w:after="31"/>
            </w:pPr>
            <w:r>
              <w:rPr>
                <w:rFonts w:hint="eastAsia"/>
              </w:rPr>
              <w:t>附录</w:t>
            </w:r>
            <w:r>
              <w:t>A</w:t>
            </w:r>
          </w:p>
        </w:tc>
      </w:tr>
      <w:tr w14:paraId="147459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251" w:type="pct"/>
            <w:vMerge w:val="continue"/>
            <w:vAlign w:val="center"/>
          </w:tcPr>
          <w:p w14:paraId="39498009">
            <w:pPr>
              <w:pStyle w:val="55"/>
              <w:spacing w:before="31" w:after="31"/>
            </w:pPr>
          </w:p>
        </w:tc>
        <w:tc>
          <w:tcPr>
            <w:tcW w:w="1057" w:type="pct"/>
            <w:vAlign w:val="center"/>
          </w:tcPr>
          <w:p w14:paraId="53C1BCEC">
            <w:pPr>
              <w:pStyle w:val="55"/>
              <w:spacing w:before="31" w:after="31"/>
            </w:pPr>
            <w:r>
              <w:rPr>
                <w:rFonts w:hint="eastAsia"/>
              </w:rPr>
              <w:t>标准养护60d</w:t>
            </w:r>
          </w:p>
        </w:tc>
        <w:tc>
          <w:tcPr>
            <w:tcW w:w="597" w:type="pct"/>
            <w:vAlign w:val="center"/>
          </w:tcPr>
          <w:p w14:paraId="4A7999E7">
            <w:pPr>
              <w:pStyle w:val="55"/>
              <w:spacing w:before="31" w:after="31"/>
            </w:pPr>
            <w:r>
              <w:t>≥</w:t>
            </w:r>
            <w:r>
              <w:rPr>
                <w:rFonts w:hint="eastAsia"/>
              </w:rPr>
              <w:t>16</w:t>
            </w:r>
            <w:r>
              <w:t>0.0</w:t>
            </w:r>
          </w:p>
        </w:tc>
        <w:tc>
          <w:tcPr>
            <w:tcW w:w="597" w:type="pct"/>
            <w:vAlign w:val="center"/>
          </w:tcPr>
          <w:p w14:paraId="36120989">
            <w:pPr>
              <w:pStyle w:val="55"/>
              <w:spacing w:before="31" w:after="31"/>
            </w:pPr>
            <w:r>
              <w:t>≥</w:t>
            </w:r>
            <w:r>
              <w:rPr>
                <w:rFonts w:hint="eastAsia"/>
              </w:rPr>
              <w:t>120</w:t>
            </w:r>
            <w:r>
              <w:t>.0</w:t>
            </w:r>
          </w:p>
        </w:tc>
        <w:tc>
          <w:tcPr>
            <w:tcW w:w="519" w:type="pct"/>
            <w:vAlign w:val="center"/>
          </w:tcPr>
          <w:p w14:paraId="665601E5">
            <w:pPr>
              <w:pStyle w:val="55"/>
              <w:spacing w:before="31" w:after="31"/>
            </w:pPr>
            <w:r>
              <w:t>≥</w:t>
            </w:r>
            <w:r>
              <w:rPr>
                <w:rFonts w:hint="eastAsia"/>
              </w:rPr>
              <w:t>80</w:t>
            </w:r>
            <w:r>
              <w:t>.0</w:t>
            </w:r>
          </w:p>
        </w:tc>
        <w:tc>
          <w:tcPr>
            <w:tcW w:w="979" w:type="pct"/>
            <w:vMerge w:val="continue"/>
            <w:vAlign w:val="center"/>
          </w:tcPr>
          <w:p w14:paraId="0C9392D3">
            <w:pPr>
              <w:pStyle w:val="55"/>
              <w:spacing w:before="31" w:after="31"/>
            </w:pPr>
          </w:p>
        </w:tc>
      </w:tr>
      <w:tr w14:paraId="09C79D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251" w:type="pct"/>
            <w:vMerge w:val="restart"/>
            <w:vAlign w:val="center"/>
          </w:tcPr>
          <w:p w14:paraId="7BDDBC15">
            <w:pPr>
              <w:pStyle w:val="55"/>
              <w:spacing w:before="31" w:after="31"/>
            </w:pPr>
            <w:r>
              <w:t>等效弯曲强度</w:t>
            </w:r>
          </w:p>
          <w:p w14:paraId="04856120">
            <w:pPr>
              <w:pStyle w:val="55"/>
              <w:spacing w:before="31" w:after="31"/>
            </w:pPr>
            <w:r>
              <w:t>（N/mm</w:t>
            </w:r>
            <w:r>
              <w:rPr>
                <w:vertAlign w:val="superscript"/>
              </w:rPr>
              <w:t>2</w:t>
            </w:r>
            <w:r>
              <w:t>）</w:t>
            </w:r>
          </w:p>
        </w:tc>
        <w:tc>
          <w:tcPr>
            <w:tcW w:w="1057" w:type="pct"/>
            <w:vAlign w:val="center"/>
          </w:tcPr>
          <w:p w14:paraId="0BEBC6E5">
            <w:pPr>
              <w:pStyle w:val="55"/>
              <w:spacing w:before="31" w:after="31"/>
            </w:pPr>
            <w:r>
              <w:rPr>
                <w:rFonts w:hint="eastAsia"/>
              </w:rPr>
              <w:t>标准养护3d</w:t>
            </w:r>
          </w:p>
        </w:tc>
        <w:tc>
          <w:tcPr>
            <w:tcW w:w="597" w:type="pct"/>
            <w:vAlign w:val="center"/>
          </w:tcPr>
          <w:p w14:paraId="6F39F07E">
            <w:pPr>
              <w:pStyle w:val="55"/>
              <w:spacing w:before="31" w:after="31"/>
            </w:pPr>
            <w:r>
              <w:rPr>
                <w:rFonts w:hint="eastAsia"/>
              </w:rPr>
              <w:t>≥6.5</w:t>
            </w:r>
          </w:p>
        </w:tc>
        <w:tc>
          <w:tcPr>
            <w:tcW w:w="597" w:type="pct"/>
            <w:vAlign w:val="center"/>
          </w:tcPr>
          <w:p w14:paraId="1CCBFF8C">
            <w:pPr>
              <w:pStyle w:val="55"/>
              <w:spacing w:before="31" w:after="31"/>
            </w:pPr>
            <w:r>
              <w:rPr>
                <w:rFonts w:hint="eastAsia"/>
              </w:rPr>
              <w:t>≥5.5</w:t>
            </w:r>
          </w:p>
        </w:tc>
        <w:tc>
          <w:tcPr>
            <w:tcW w:w="519" w:type="pct"/>
            <w:vAlign w:val="center"/>
          </w:tcPr>
          <w:p w14:paraId="6F335AEE">
            <w:pPr>
              <w:pStyle w:val="55"/>
              <w:spacing w:before="31" w:after="31"/>
            </w:pPr>
            <w:r>
              <w:rPr>
                <w:rFonts w:hint="eastAsia"/>
              </w:rPr>
              <w:t>≥4.5</w:t>
            </w:r>
          </w:p>
        </w:tc>
        <w:tc>
          <w:tcPr>
            <w:tcW w:w="979" w:type="pct"/>
            <w:vMerge w:val="restart"/>
            <w:vAlign w:val="center"/>
          </w:tcPr>
          <w:p w14:paraId="20343D7F">
            <w:pPr>
              <w:pStyle w:val="55"/>
              <w:spacing w:before="31" w:after="31"/>
            </w:pPr>
            <w:r>
              <w:rPr>
                <w:rFonts w:hint="eastAsia"/>
              </w:rPr>
              <w:t>本规程</w:t>
            </w:r>
          </w:p>
          <w:p w14:paraId="0F27ED4F">
            <w:pPr>
              <w:pStyle w:val="55"/>
              <w:spacing w:before="31" w:after="31"/>
            </w:pPr>
            <w:r>
              <w:rPr>
                <w:rFonts w:hint="eastAsia"/>
              </w:rPr>
              <w:t>附录</w:t>
            </w:r>
            <w:r>
              <w:t>A</w:t>
            </w:r>
          </w:p>
        </w:tc>
      </w:tr>
      <w:tr w14:paraId="416DD4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251" w:type="pct"/>
            <w:vMerge w:val="continue"/>
            <w:vAlign w:val="center"/>
          </w:tcPr>
          <w:p w14:paraId="49F9F076">
            <w:pPr>
              <w:pStyle w:val="55"/>
              <w:spacing w:before="31" w:after="31"/>
            </w:pPr>
          </w:p>
        </w:tc>
        <w:tc>
          <w:tcPr>
            <w:tcW w:w="1057" w:type="pct"/>
            <w:vAlign w:val="center"/>
          </w:tcPr>
          <w:p w14:paraId="148AB231">
            <w:pPr>
              <w:pStyle w:val="55"/>
              <w:spacing w:before="31" w:after="31"/>
            </w:pPr>
            <w:r>
              <w:rPr>
                <w:rFonts w:hint="eastAsia"/>
              </w:rPr>
              <w:t>标准养护60d</w:t>
            </w:r>
          </w:p>
        </w:tc>
        <w:tc>
          <w:tcPr>
            <w:tcW w:w="597" w:type="pct"/>
            <w:vAlign w:val="center"/>
          </w:tcPr>
          <w:p w14:paraId="27E2B4AE">
            <w:pPr>
              <w:pStyle w:val="55"/>
              <w:spacing w:before="31" w:after="31"/>
            </w:pPr>
            <w:r>
              <w:t>≥</w:t>
            </w:r>
            <w:r>
              <w:rPr>
                <w:rFonts w:hint="eastAsia"/>
              </w:rPr>
              <w:t>11</w:t>
            </w:r>
            <w:r>
              <w:t>.0</w:t>
            </w:r>
          </w:p>
        </w:tc>
        <w:tc>
          <w:tcPr>
            <w:tcW w:w="597" w:type="pct"/>
            <w:vAlign w:val="center"/>
          </w:tcPr>
          <w:p w14:paraId="3F3A3780">
            <w:pPr>
              <w:pStyle w:val="55"/>
              <w:spacing w:before="31" w:after="31"/>
            </w:pPr>
            <w:r>
              <w:t>≥</w:t>
            </w:r>
            <w:r>
              <w:rPr>
                <w:rFonts w:hint="eastAsia"/>
              </w:rPr>
              <w:t>10.0</w:t>
            </w:r>
          </w:p>
        </w:tc>
        <w:tc>
          <w:tcPr>
            <w:tcW w:w="519" w:type="pct"/>
            <w:vAlign w:val="center"/>
          </w:tcPr>
          <w:p w14:paraId="5E5CBC5D">
            <w:pPr>
              <w:pStyle w:val="55"/>
              <w:spacing w:before="31" w:after="31"/>
            </w:pPr>
            <w:r>
              <w:t>≥</w:t>
            </w:r>
            <w:r>
              <w:rPr>
                <w:rFonts w:hint="eastAsia"/>
              </w:rPr>
              <w:t>9.0</w:t>
            </w:r>
          </w:p>
        </w:tc>
        <w:tc>
          <w:tcPr>
            <w:tcW w:w="979" w:type="pct"/>
            <w:vMerge w:val="continue"/>
            <w:vAlign w:val="center"/>
          </w:tcPr>
          <w:p w14:paraId="26B323B6">
            <w:pPr>
              <w:pStyle w:val="55"/>
              <w:spacing w:before="31" w:after="31"/>
            </w:pPr>
          </w:p>
        </w:tc>
      </w:tr>
      <w:tr w14:paraId="7F0E81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251" w:type="pct"/>
            <w:vMerge w:val="restart"/>
            <w:vAlign w:val="center"/>
          </w:tcPr>
          <w:p w14:paraId="2C948B20">
            <w:pPr>
              <w:pStyle w:val="55"/>
              <w:spacing w:before="31" w:after="31"/>
            </w:pPr>
            <w:r>
              <w:t>抗折强度</w:t>
            </w:r>
          </w:p>
          <w:p w14:paraId="59AA084A">
            <w:pPr>
              <w:pStyle w:val="55"/>
              <w:spacing w:before="31" w:after="31"/>
            </w:pPr>
            <w:r>
              <w:t>（N/m m</w:t>
            </w:r>
            <w:r>
              <w:rPr>
                <w:vertAlign w:val="superscript"/>
              </w:rPr>
              <w:t>2</w:t>
            </w:r>
            <w:r>
              <w:t>）</w:t>
            </w:r>
          </w:p>
        </w:tc>
        <w:tc>
          <w:tcPr>
            <w:tcW w:w="1057" w:type="pct"/>
            <w:vAlign w:val="center"/>
          </w:tcPr>
          <w:p w14:paraId="6B0CEB87">
            <w:pPr>
              <w:pStyle w:val="55"/>
              <w:spacing w:before="31" w:after="31"/>
            </w:pPr>
            <w:r>
              <w:rPr>
                <w:rFonts w:hint="eastAsia"/>
              </w:rPr>
              <w:t>标准养护3d</w:t>
            </w:r>
          </w:p>
        </w:tc>
        <w:tc>
          <w:tcPr>
            <w:tcW w:w="1713" w:type="pct"/>
            <w:gridSpan w:val="3"/>
            <w:vAlign w:val="center"/>
          </w:tcPr>
          <w:p w14:paraId="69B4826A">
            <w:pPr>
              <w:pStyle w:val="55"/>
              <w:spacing w:before="31" w:after="31"/>
            </w:pPr>
            <w:r>
              <w:t>≥</w:t>
            </w:r>
            <w:r>
              <w:rPr>
                <w:rFonts w:hint="eastAsia"/>
              </w:rPr>
              <w:t>7.0</w:t>
            </w:r>
          </w:p>
        </w:tc>
        <w:tc>
          <w:tcPr>
            <w:tcW w:w="979" w:type="pct"/>
            <w:vMerge w:val="restart"/>
            <w:vAlign w:val="center"/>
          </w:tcPr>
          <w:p w14:paraId="4CFC1DC2">
            <w:pPr>
              <w:pStyle w:val="55"/>
              <w:spacing w:before="31" w:after="31"/>
            </w:pPr>
            <w:r>
              <w:rPr>
                <w:rFonts w:hint="eastAsia"/>
              </w:rPr>
              <w:t>GB/T 17671</w:t>
            </w:r>
          </w:p>
        </w:tc>
      </w:tr>
      <w:tr w14:paraId="38C288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251" w:type="pct"/>
            <w:vMerge w:val="continue"/>
            <w:vAlign w:val="center"/>
          </w:tcPr>
          <w:p w14:paraId="6A9D403D">
            <w:pPr>
              <w:pStyle w:val="55"/>
              <w:spacing w:before="31" w:after="31"/>
            </w:pPr>
          </w:p>
        </w:tc>
        <w:tc>
          <w:tcPr>
            <w:tcW w:w="1057" w:type="pct"/>
            <w:vAlign w:val="center"/>
          </w:tcPr>
          <w:p w14:paraId="2DB65E12">
            <w:pPr>
              <w:pStyle w:val="55"/>
              <w:spacing w:before="31" w:after="31"/>
            </w:pPr>
            <w:r>
              <w:rPr>
                <w:rFonts w:hint="eastAsia"/>
              </w:rPr>
              <w:t>标准养护60d</w:t>
            </w:r>
          </w:p>
        </w:tc>
        <w:tc>
          <w:tcPr>
            <w:tcW w:w="1713" w:type="pct"/>
            <w:gridSpan w:val="3"/>
            <w:vAlign w:val="center"/>
          </w:tcPr>
          <w:p w14:paraId="4843A052">
            <w:pPr>
              <w:pStyle w:val="55"/>
              <w:spacing w:before="31" w:after="31"/>
            </w:pPr>
            <w:r>
              <w:t>≥1</w:t>
            </w:r>
            <w:r>
              <w:rPr>
                <w:rFonts w:hint="eastAsia"/>
              </w:rPr>
              <w:t>2.0</w:t>
            </w:r>
          </w:p>
        </w:tc>
        <w:tc>
          <w:tcPr>
            <w:tcW w:w="979" w:type="pct"/>
            <w:vMerge w:val="continue"/>
            <w:vAlign w:val="center"/>
          </w:tcPr>
          <w:p w14:paraId="656A4413">
            <w:pPr>
              <w:pStyle w:val="55"/>
              <w:spacing w:before="31" w:after="31"/>
            </w:pPr>
          </w:p>
        </w:tc>
      </w:tr>
      <w:tr w14:paraId="63EBB3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251" w:type="pct"/>
            <w:vMerge w:val="restart"/>
            <w:vAlign w:val="center"/>
          </w:tcPr>
          <w:p w14:paraId="73158776">
            <w:pPr>
              <w:pStyle w:val="55"/>
              <w:spacing w:before="31" w:after="31"/>
            </w:pPr>
            <w:r>
              <w:rPr>
                <w:rFonts w:hint="eastAsia"/>
              </w:rPr>
              <w:t>立方体</w:t>
            </w:r>
            <w:r>
              <w:t>抗压强度</w:t>
            </w:r>
          </w:p>
          <w:p w14:paraId="1BFABD25">
            <w:pPr>
              <w:pStyle w:val="55"/>
              <w:spacing w:before="31" w:after="31"/>
            </w:pPr>
            <w:r>
              <w:t>（N/mm</w:t>
            </w:r>
            <w:r>
              <w:rPr>
                <w:vertAlign w:val="superscript"/>
              </w:rPr>
              <w:t>2</w:t>
            </w:r>
            <w:r>
              <w:t>）</w:t>
            </w:r>
          </w:p>
        </w:tc>
        <w:tc>
          <w:tcPr>
            <w:tcW w:w="1057" w:type="pct"/>
            <w:vAlign w:val="center"/>
          </w:tcPr>
          <w:p w14:paraId="7D36F0E8">
            <w:pPr>
              <w:pStyle w:val="55"/>
              <w:spacing w:before="31" w:after="31"/>
            </w:pPr>
            <w:r>
              <w:rPr>
                <w:rFonts w:hint="eastAsia"/>
              </w:rPr>
              <w:t>标准养护3d</w:t>
            </w:r>
          </w:p>
        </w:tc>
        <w:tc>
          <w:tcPr>
            <w:tcW w:w="1713" w:type="pct"/>
            <w:gridSpan w:val="3"/>
            <w:vAlign w:val="center"/>
          </w:tcPr>
          <w:p w14:paraId="3FC4E486">
            <w:pPr>
              <w:pStyle w:val="55"/>
              <w:spacing w:before="31" w:after="31"/>
            </w:pPr>
            <w:r>
              <w:t>≥</w:t>
            </w:r>
            <w:r>
              <w:rPr>
                <w:rFonts w:hint="eastAsia"/>
              </w:rPr>
              <w:t>25.0</w:t>
            </w:r>
          </w:p>
        </w:tc>
        <w:tc>
          <w:tcPr>
            <w:tcW w:w="979" w:type="pct"/>
            <w:vMerge w:val="restart"/>
            <w:vAlign w:val="center"/>
          </w:tcPr>
          <w:p w14:paraId="7F7FC669">
            <w:pPr>
              <w:pStyle w:val="55"/>
              <w:spacing w:before="31" w:after="31"/>
            </w:pPr>
            <w:r>
              <w:t>GB/T 50081</w:t>
            </w:r>
          </w:p>
        </w:tc>
      </w:tr>
      <w:tr w14:paraId="05EACE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251" w:type="pct"/>
            <w:vMerge w:val="continue"/>
            <w:vAlign w:val="center"/>
          </w:tcPr>
          <w:p w14:paraId="6448FAC3">
            <w:pPr>
              <w:pStyle w:val="55"/>
              <w:spacing w:before="31" w:after="31"/>
            </w:pPr>
          </w:p>
        </w:tc>
        <w:tc>
          <w:tcPr>
            <w:tcW w:w="1057" w:type="pct"/>
            <w:vAlign w:val="center"/>
          </w:tcPr>
          <w:p w14:paraId="5EC8FA7B">
            <w:pPr>
              <w:pStyle w:val="55"/>
              <w:spacing w:before="31" w:after="31"/>
            </w:pPr>
            <w:r>
              <w:rPr>
                <w:rFonts w:hint="eastAsia"/>
              </w:rPr>
              <w:t>标准养护60d</w:t>
            </w:r>
          </w:p>
        </w:tc>
        <w:tc>
          <w:tcPr>
            <w:tcW w:w="1713" w:type="pct"/>
            <w:gridSpan w:val="3"/>
            <w:vAlign w:val="center"/>
          </w:tcPr>
          <w:p w14:paraId="5F3E333F">
            <w:pPr>
              <w:pStyle w:val="55"/>
              <w:spacing w:before="31" w:after="31"/>
            </w:pPr>
            <w:r>
              <w:t>≥50</w:t>
            </w:r>
            <w:r>
              <w:rPr>
                <w:rFonts w:hint="eastAsia"/>
              </w:rPr>
              <w:t>.0</w:t>
            </w:r>
          </w:p>
        </w:tc>
        <w:tc>
          <w:tcPr>
            <w:tcW w:w="979" w:type="pct"/>
            <w:vMerge w:val="continue"/>
            <w:vAlign w:val="center"/>
          </w:tcPr>
          <w:p w14:paraId="7040EDAC">
            <w:pPr>
              <w:pStyle w:val="55"/>
              <w:spacing w:before="31" w:after="31"/>
            </w:pPr>
          </w:p>
        </w:tc>
      </w:tr>
    </w:tbl>
    <w:p w14:paraId="06BA39CA">
      <w:pPr>
        <w:pStyle w:val="57"/>
      </w:pPr>
      <w:r>
        <w:t xml:space="preserve">注：1 </w:t>
      </w:r>
      <w:r>
        <w:rPr>
          <w:rFonts w:hint="eastAsia"/>
        </w:rPr>
        <w:t xml:space="preserve"> </w:t>
      </w:r>
      <w:r>
        <w:t>表中性能指标</w:t>
      </w:r>
      <w:r>
        <w:rPr>
          <w:rFonts w:hint="eastAsia"/>
        </w:rPr>
        <w:t>除立方体抗压强度为标准值外，其他性能指标</w:t>
      </w:r>
      <w:r>
        <w:t>均指</w:t>
      </w:r>
      <w:r>
        <w:rPr>
          <w:rFonts w:hint="eastAsia"/>
        </w:rPr>
        <w:t>试验结果的</w:t>
      </w:r>
      <w:r>
        <w:t>代表值；</w:t>
      </w:r>
    </w:p>
    <w:p w14:paraId="3147BC79">
      <w:pPr>
        <w:pStyle w:val="57"/>
        <w:ind w:firstLine="360" w:firstLineChars="200"/>
      </w:pPr>
      <w:r>
        <w:rPr>
          <w:rFonts w:hint="eastAsia"/>
        </w:rPr>
        <w:t>2</w:t>
      </w:r>
      <w:r>
        <w:t xml:space="preserve">  </w:t>
      </w:r>
      <w:r>
        <w:rPr>
          <w:rFonts w:hint="eastAsia"/>
        </w:rPr>
        <w:t>等效弯曲韧性、等效弯曲强度、抗折强度试件尺寸均为4</w:t>
      </w:r>
      <w:r>
        <w:t>0</w:t>
      </w:r>
      <w:r>
        <w:rPr>
          <w:rFonts w:hint="eastAsia"/>
        </w:rPr>
        <w:t>mm×</w:t>
      </w:r>
      <w:r>
        <w:t>40</w:t>
      </w:r>
      <w:r>
        <w:rPr>
          <w:rFonts w:hint="eastAsia"/>
        </w:rPr>
        <w:t xml:space="preserve"> mm×</w:t>
      </w:r>
      <w:r>
        <w:t>160</w:t>
      </w:r>
      <w:r>
        <w:rPr>
          <w:rFonts w:hint="eastAsia"/>
        </w:rPr>
        <w:t xml:space="preserve"> mm，立方体抗压强度试件尺寸为</w:t>
      </w:r>
      <w:r>
        <w:t>100</w:t>
      </w:r>
      <w:r>
        <w:rPr>
          <w:rFonts w:hint="eastAsia"/>
        </w:rPr>
        <w:t>mm×</w:t>
      </w:r>
      <w:r>
        <w:t>100</w:t>
      </w:r>
      <w:r>
        <w:rPr>
          <w:rFonts w:hint="eastAsia"/>
        </w:rPr>
        <w:t xml:space="preserve"> mm×</w:t>
      </w:r>
      <w:r>
        <w:t>100</w:t>
      </w:r>
      <w:r>
        <w:rPr>
          <w:rFonts w:hint="eastAsia"/>
        </w:rPr>
        <w:t xml:space="preserve"> mm；</w:t>
      </w:r>
    </w:p>
    <w:p w14:paraId="28162961">
      <w:pPr>
        <w:pStyle w:val="57"/>
        <w:ind w:firstLine="360" w:firstLineChars="200"/>
      </w:pPr>
      <w:r>
        <w:t xml:space="preserve">3 </w:t>
      </w:r>
      <w:r>
        <w:rPr>
          <w:rFonts w:hint="eastAsia"/>
        </w:rPr>
        <w:t xml:space="preserve"> 表中3d龄期作为进场检验指标，28d龄期作为施工过程控制指标，60d龄期作为最终验收的指标要求；</w:t>
      </w:r>
    </w:p>
    <w:p w14:paraId="753E2349">
      <w:pPr>
        <w:pStyle w:val="4"/>
      </w:pPr>
      <w:r>
        <w:rPr>
          <w:rFonts w:hint="eastAsia"/>
          <w:b/>
          <w:iCs/>
        </w:rPr>
        <w:t xml:space="preserve">4.3.2  </w:t>
      </w:r>
      <w:r>
        <w:rPr>
          <w:rFonts w:hint="eastAsia"/>
        </w:rPr>
        <w:t>高延性混凝土与基材的正拉粘结强度性能指标应符合表4.3.2的规定。</w:t>
      </w:r>
    </w:p>
    <w:p w14:paraId="08D0D057">
      <w:pPr>
        <w:pStyle w:val="56"/>
      </w:pPr>
      <w:r>
        <w:t>表4.</w:t>
      </w:r>
      <w:r>
        <w:rPr>
          <w:rFonts w:hint="eastAsia"/>
        </w:rPr>
        <w:t>3</w:t>
      </w:r>
      <w:r>
        <w:t>.</w:t>
      </w:r>
      <w:r>
        <w:rPr>
          <w:rFonts w:hint="eastAsia"/>
        </w:rPr>
        <w:t>2</w:t>
      </w:r>
      <w:r>
        <w:t xml:space="preserve">  高延性混凝土</w:t>
      </w:r>
      <w:r>
        <w:rPr>
          <w:rFonts w:hint="eastAsia"/>
        </w:rPr>
        <w:t>与基材的正拉粘结强度性能指标</w:t>
      </w:r>
    </w:p>
    <w:tbl>
      <w:tblPr>
        <w:tblStyle w:val="28"/>
        <w:tblW w:w="4863" w:type="pct"/>
        <w:tblInd w:w="11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70"/>
        <w:gridCol w:w="1530"/>
        <w:gridCol w:w="1365"/>
        <w:gridCol w:w="1457"/>
        <w:gridCol w:w="2507"/>
      </w:tblGrid>
      <w:tr w14:paraId="03C2A6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74" w:type="pct"/>
            <w:vAlign w:val="center"/>
          </w:tcPr>
          <w:p w14:paraId="4DD55061">
            <w:pPr>
              <w:pStyle w:val="55"/>
              <w:spacing w:before="31" w:after="31"/>
            </w:pPr>
            <w:r>
              <w:rPr>
                <w:rFonts w:hint="eastAsia"/>
              </w:rPr>
              <w:t>基材</w:t>
            </w:r>
          </w:p>
          <w:p w14:paraId="0B796A9D">
            <w:pPr>
              <w:pStyle w:val="55"/>
              <w:spacing w:before="31" w:after="31"/>
            </w:pPr>
            <w:r>
              <w:rPr>
                <w:rFonts w:hint="eastAsia"/>
              </w:rPr>
              <w:t>类别</w:t>
            </w:r>
          </w:p>
        </w:tc>
        <w:tc>
          <w:tcPr>
            <w:tcW w:w="964" w:type="pct"/>
            <w:vAlign w:val="center"/>
          </w:tcPr>
          <w:p w14:paraId="4BFBC68D">
            <w:pPr>
              <w:pStyle w:val="55"/>
              <w:spacing w:before="31" w:after="31"/>
            </w:pPr>
            <w:r>
              <w:rPr>
                <w:rFonts w:hint="eastAsia"/>
              </w:rPr>
              <w:t>基材强度等级</w:t>
            </w:r>
          </w:p>
        </w:tc>
        <w:tc>
          <w:tcPr>
            <w:tcW w:w="860" w:type="pct"/>
            <w:vAlign w:val="center"/>
          </w:tcPr>
          <w:p w14:paraId="14FCEDEF">
            <w:pPr>
              <w:pStyle w:val="55"/>
              <w:spacing w:before="31" w:after="31"/>
            </w:pPr>
            <w:r>
              <w:rPr>
                <w:rFonts w:hint="eastAsia"/>
              </w:rPr>
              <w:t>28d性能指标（MPa）</w:t>
            </w:r>
          </w:p>
        </w:tc>
        <w:tc>
          <w:tcPr>
            <w:tcW w:w="918" w:type="pct"/>
            <w:vAlign w:val="center"/>
          </w:tcPr>
          <w:p w14:paraId="4640B414">
            <w:pPr>
              <w:pStyle w:val="55"/>
              <w:spacing w:before="31" w:after="31"/>
            </w:pPr>
            <w:r>
              <w:rPr>
                <w:rFonts w:hint="eastAsia"/>
              </w:rPr>
              <w:t>正常破坏形式</w:t>
            </w:r>
          </w:p>
        </w:tc>
        <w:tc>
          <w:tcPr>
            <w:tcW w:w="1580" w:type="pct"/>
            <w:vAlign w:val="center"/>
          </w:tcPr>
          <w:p w14:paraId="3B493D54">
            <w:pPr>
              <w:pStyle w:val="55"/>
              <w:spacing w:before="31" w:after="31"/>
            </w:pPr>
            <w:r>
              <w:rPr>
                <w:rFonts w:hint="eastAsia"/>
              </w:rPr>
              <w:t>试验</w:t>
            </w:r>
            <w:r>
              <w:t>方法</w:t>
            </w:r>
            <w:r>
              <w:rPr>
                <w:rFonts w:hint="eastAsia"/>
              </w:rPr>
              <w:t>标准</w:t>
            </w:r>
          </w:p>
        </w:tc>
      </w:tr>
      <w:tr w14:paraId="127C8C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74" w:type="pct"/>
            <w:vAlign w:val="center"/>
          </w:tcPr>
          <w:p w14:paraId="5D6AB3BE">
            <w:pPr>
              <w:pStyle w:val="55"/>
              <w:spacing w:before="31" w:after="31"/>
            </w:pPr>
            <w:r>
              <w:rPr>
                <w:rFonts w:hint="eastAsia"/>
              </w:rPr>
              <w:t>烧结砖</w:t>
            </w:r>
          </w:p>
        </w:tc>
        <w:tc>
          <w:tcPr>
            <w:tcW w:w="964" w:type="pct"/>
            <w:vAlign w:val="center"/>
          </w:tcPr>
          <w:p w14:paraId="617E75BC">
            <w:pPr>
              <w:pStyle w:val="55"/>
              <w:spacing w:before="31" w:after="31"/>
            </w:pPr>
            <w:r>
              <w:rPr>
                <w:rFonts w:hint="eastAsia"/>
              </w:rPr>
              <w:t>MU15</w:t>
            </w:r>
          </w:p>
        </w:tc>
        <w:tc>
          <w:tcPr>
            <w:tcW w:w="860" w:type="pct"/>
            <w:vAlign w:val="center"/>
          </w:tcPr>
          <w:p w14:paraId="4B7794D9">
            <w:pPr>
              <w:pStyle w:val="55"/>
              <w:spacing w:before="31" w:after="31"/>
            </w:pPr>
            <w:r>
              <w:rPr>
                <w:rFonts w:ascii="宋体" w:hAnsi="宋体"/>
              </w:rPr>
              <w:t>≥</w:t>
            </w:r>
            <w:r>
              <w:rPr>
                <w:rFonts w:hint="eastAsia"/>
              </w:rPr>
              <w:t>0.6</w:t>
            </w:r>
          </w:p>
        </w:tc>
        <w:tc>
          <w:tcPr>
            <w:tcW w:w="918" w:type="pct"/>
            <w:vAlign w:val="center"/>
          </w:tcPr>
          <w:p w14:paraId="459623B8">
            <w:pPr>
              <w:pStyle w:val="55"/>
              <w:spacing w:before="31" w:after="31"/>
            </w:pPr>
            <w:r>
              <w:rPr>
                <w:rFonts w:hint="eastAsia"/>
              </w:rPr>
              <w:t>基材砖内聚破坏</w:t>
            </w:r>
          </w:p>
        </w:tc>
        <w:tc>
          <w:tcPr>
            <w:tcW w:w="1580" w:type="pct"/>
            <w:vAlign w:val="center"/>
          </w:tcPr>
          <w:p w14:paraId="2BE53059">
            <w:pPr>
              <w:pStyle w:val="55"/>
              <w:spacing w:before="31" w:after="31"/>
            </w:pPr>
            <w:r>
              <w:rPr>
                <w:rFonts w:hint="eastAsia"/>
              </w:rPr>
              <w:t>GB 50702-2011附录</w:t>
            </w:r>
            <w:r>
              <w:t>B</w:t>
            </w:r>
          </w:p>
        </w:tc>
      </w:tr>
      <w:tr w14:paraId="17C02A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74" w:type="pct"/>
            <w:vAlign w:val="center"/>
          </w:tcPr>
          <w:p w14:paraId="4F22ABCC">
            <w:pPr>
              <w:pStyle w:val="55"/>
              <w:spacing w:before="31" w:after="31"/>
            </w:pPr>
            <w:r>
              <w:rPr>
                <w:rFonts w:hint="eastAsia"/>
              </w:rPr>
              <w:t>混凝土</w:t>
            </w:r>
          </w:p>
        </w:tc>
        <w:tc>
          <w:tcPr>
            <w:tcW w:w="964" w:type="pct"/>
            <w:vAlign w:val="center"/>
          </w:tcPr>
          <w:p w14:paraId="0025984A">
            <w:pPr>
              <w:pStyle w:val="55"/>
              <w:spacing w:before="31" w:after="31"/>
            </w:pPr>
            <w:r>
              <w:rPr>
                <w:rFonts w:hint="eastAsia"/>
              </w:rPr>
              <w:t>C30</w:t>
            </w:r>
          </w:p>
        </w:tc>
        <w:tc>
          <w:tcPr>
            <w:tcW w:w="860" w:type="pct"/>
            <w:vAlign w:val="center"/>
          </w:tcPr>
          <w:p w14:paraId="3D5006EE">
            <w:pPr>
              <w:pStyle w:val="55"/>
              <w:spacing w:before="31" w:after="31"/>
            </w:pPr>
            <w:r>
              <w:rPr>
                <w:rFonts w:ascii="宋体" w:hAnsi="宋体"/>
              </w:rPr>
              <w:t>≥</w:t>
            </w:r>
            <w:r>
              <w:rPr>
                <w:rFonts w:hint="eastAsia"/>
              </w:rPr>
              <w:t>1.5</w:t>
            </w:r>
          </w:p>
        </w:tc>
        <w:tc>
          <w:tcPr>
            <w:tcW w:w="918" w:type="pct"/>
            <w:vAlign w:val="center"/>
          </w:tcPr>
          <w:p w14:paraId="4226AD35">
            <w:pPr>
              <w:pStyle w:val="55"/>
              <w:spacing w:before="31" w:after="31"/>
            </w:pPr>
            <w:r>
              <w:rPr>
                <w:rFonts w:hint="eastAsia"/>
              </w:rPr>
              <w:t>基材混凝土内聚破坏</w:t>
            </w:r>
          </w:p>
        </w:tc>
        <w:tc>
          <w:tcPr>
            <w:tcW w:w="1580" w:type="pct"/>
            <w:vAlign w:val="center"/>
          </w:tcPr>
          <w:p w14:paraId="60CF9CD3">
            <w:pPr>
              <w:pStyle w:val="55"/>
              <w:spacing w:before="31" w:after="31"/>
            </w:pPr>
            <w:r>
              <w:rPr>
                <w:rFonts w:hint="eastAsia"/>
              </w:rPr>
              <w:t>GB 50550-2010附录E</w:t>
            </w:r>
          </w:p>
        </w:tc>
      </w:tr>
    </w:tbl>
    <w:p w14:paraId="423BFC53">
      <w:pPr>
        <w:pStyle w:val="57"/>
        <w:rPr>
          <w:rFonts w:eastAsia="黑体" w:cs="Times New Roman"/>
          <w:snapToGrid w:val="0"/>
          <w:sz w:val="28"/>
          <w:szCs w:val="32"/>
        </w:rPr>
      </w:pPr>
      <w:r>
        <w:rPr>
          <w:rFonts w:hint="eastAsia"/>
          <w:snapToGrid w:val="0"/>
        </w:rPr>
        <w:t>注：拉粘结强度性能指标应至少满足28d性能指标与正常破坏形式其中一项。</w:t>
      </w:r>
    </w:p>
    <w:p w14:paraId="124BCC67">
      <w:pPr>
        <w:pStyle w:val="4"/>
        <w:rPr>
          <w:rFonts w:hAnsi="Calibri"/>
          <w:strike/>
        </w:rPr>
      </w:pPr>
      <w:r>
        <w:rPr>
          <w:rFonts w:hint="eastAsia"/>
          <w:b/>
          <w:iCs/>
        </w:rPr>
        <w:t xml:space="preserve">4.3.3  </w:t>
      </w:r>
      <w:r>
        <w:rPr>
          <w:rFonts w:hint="eastAsia" w:hAnsi="Calibri"/>
        </w:rPr>
        <w:t>高延性混凝土的轴心抗压强度设计值</w:t>
      </w:r>
      <w:r>
        <w:rPr>
          <w:position w:val="-10"/>
        </w:rPr>
        <w:object>
          <v:shape id="_x0000_i1039" o:spt="75" type="#_x0000_t75" style="height:19.9pt;width:16.1pt;" o:ole="t" filled="f" o:preferrelative="t" stroked="f" coordsize="21600,21600">
            <v:path/>
            <v:fill on="f" focussize="0,0"/>
            <v:stroke on="f" joinstyle="miter"/>
            <v:imagedata r:id="rId44" o:title=""/>
            <o:lock v:ext="edit" aspectratio="t"/>
            <w10:wrap type="none"/>
            <w10:anchorlock/>
          </v:shape>
          <o:OLEObject Type="Embed" ProgID="Equation.DSMT4" ShapeID="_x0000_i1039" DrawAspect="Content" ObjectID="_1468075739" r:id="rId43">
            <o:LockedField>false</o:LockedField>
          </o:OLEObject>
        </w:object>
      </w:r>
      <w:r>
        <w:rPr>
          <w:rFonts w:hint="eastAsia" w:hAnsi="Calibri"/>
        </w:rPr>
        <w:t>应取27.6N/mm</w:t>
      </w:r>
      <w:r>
        <w:rPr>
          <w:rFonts w:hint="eastAsia" w:hAnsi="Calibri"/>
          <w:vertAlign w:val="superscript"/>
        </w:rPr>
        <w:t>2</w:t>
      </w:r>
      <w:r>
        <w:rPr>
          <w:rFonts w:hint="eastAsia" w:hAnsi="Calibri"/>
        </w:rPr>
        <w:t>，轴心抗拉强度设计值</w:t>
      </w:r>
      <w:r>
        <w:rPr>
          <w:position w:val="-10"/>
        </w:rPr>
        <w:object>
          <v:shape id="_x0000_i1040" o:spt="75" type="#_x0000_t75" style="height:19.9pt;width:18.25pt;" o:ole="t" filled="f" o:preferrelative="t" stroked="f" coordsize="21600,21600">
            <v:path/>
            <v:fill on="f" focussize="0,0"/>
            <v:stroke on="f" joinstyle="miter"/>
            <v:imagedata r:id="rId46" o:title=""/>
            <o:lock v:ext="edit" aspectratio="t"/>
            <w10:wrap type="none"/>
            <w10:anchorlock/>
          </v:shape>
          <o:OLEObject Type="Embed" ProgID="Equation.DSMT4" ShapeID="_x0000_i1040" DrawAspect="Content" ObjectID="_1468075740" r:id="rId45">
            <o:LockedField>false</o:LockedField>
          </o:OLEObject>
        </w:object>
      </w:r>
      <w:r>
        <w:rPr>
          <w:rFonts w:hint="eastAsia" w:hAnsi="Calibri"/>
        </w:rPr>
        <w:t>应取3.8N/mm</w:t>
      </w:r>
      <w:r>
        <w:rPr>
          <w:rFonts w:hint="eastAsia" w:hAnsi="Calibri"/>
          <w:vertAlign w:val="superscript"/>
        </w:rPr>
        <w:t>2</w:t>
      </w:r>
      <w:r>
        <w:rPr>
          <w:rFonts w:hint="eastAsia" w:hAnsi="Calibri"/>
        </w:rPr>
        <w:t>。</w:t>
      </w:r>
    </w:p>
    <w:p w14:paraId="00ED5381">
      <w:pPr>
        <w:pStyle w:val="4"/>
      </w:pPr>
      <w:r>
        <w:rPr>
          <w:rFonts w:hint="eastAsia"/>
          <w:b/>
          <w:iCs/>
        </w:rPr>
        <w:t xml:space="preserve">4.3.4  </w:t>
      </w:r>
      <w:r>
        <w:rPr>
          <w:rFonts w:hint="eastAsia"/>
        </w:rPr>
        <w:t>高延性混凝土的受压弹性模量</w:t>
      </w:r>
      <w:r>
        <w:rPr>
          <w:rFonts w:hint="eastAsia"/>
          <w:i/>
          <w:iCs/>
        </w:rPr>
        <w:t>E</w:t>
      </w:r>
      <w:r>
        <w:rPr>
          <w:rFonts w:hint="eastAsia"/>
          <w:vertAlign w:val="subscript"/>
        </w:rPr>
        <w:t>d</w:t>
      </w:r>
      <w:r>
        <w:rPr>
          <w:rFonts w:hint="eastAsia"/>
        </w:rPr>
        <w:t>应取2.20×10</w:t>
      </w:r>
      <w:r>
        <w:rPr>
          <w:rFonts w:hint="eastAsia"/>
          <w:vertAlign w:val="superscript"/>
        </w:rPr>
        <w:t>4</w:t>
      </w:r>
      <w:r>
        <w:rPr>
          <w:rFonts w:hint="eastAsia"/>
        </w:rPr>
        <w:t xml:space="preserve"> N/mm</w:t>
      </w:r>
      <w:r>
        <w:rPr>
          <w:rFonts w:hint="eastAsia"/>
          <w:vertAlign w:val="superscript"/>
        </w:rPr>
        <w:t>2</w:t>
      </w:r>
      <w:r>
        <w:rPr>
          <w:rFonts w:hint="eastAsia"/>
        </w:rPr>
        <w:t>，当有可靠试验依据时，弹性模量可根据实测数据确定。</w:t>
      </w:r>
    </w:p>
    <w:p w14:paraId="58BDD2D6">
      <w:pPr>
        <w:pStyle w:val="3"/>
      </w:pPr>
      <w:r>
        <w:t>4.</w:t>
      </w:r>
      <w:r>
        <w:rPr>
          <w:rFonts w:hint="eastAsia"/>
        </w:rPr>
        <w:t>4</w:t>
      </w:r>
      <w:r>
        <w:t xml:space="preserve">  </w:t>
      </w:r>
      <w:r>
        <w:rPr>
          <w:rFonts w:hint="eastAsia"/>
        </w:rPr>
        <w:t>耐久性能</w:t>
      </w:r>
    </w:p>
    <w:p w14:paraId="054E46E5">
      <w:pPr>
        <w:spacing w:line="312" w:lineRule="auto"/>
        <w:ind w:firstLine="422"/>
        <w:jc w:val="left"/>
      </w:pPr>
      <w:r>
        <w:rPr>
          <w:b/>
        </w:rPr>
        <w:t>4</w:t>
      </w:r>
      <w:r>
        <w:rPr>
          <w:rFonts w:hint="eastAsia"/>
          <w:b/>
        </w:rPr>
        <w:t>.4.1</w:t>
      </w:r>
      <w:r>
        <w:t xml:space="preserve">  </w:t>
      </w:r>
      <w:r>
        <w:rPr>
          <w:rFonts w:hint="eastAsia"/>
        </w:rPr>
        <w:t>设计应根据加固部位及其所处环境确定高延性混凝土的耐久性要求，</w:t>
      </w:r>
      <w:r>
        <w:t>相应的耐久性能除应满足表4.</w:t>
      </w:r>
      <w:r>
        <w:rPr>
          <w:rFonts w:hint="eastAsia"/>
        </w:rPr>
        <w:t>4</w:t>
      </w:r>
      <w:r>
        <w:t>.1的要求外，尚应符合现行国家标准</w:t>
      </w:r>
      <w:r>
        <w:rPr>
          <w:rFonts w:hint="eastAsia"/>
        </w:rPr>
        <w:t>的相关规定</w:t>
      </w:r>
      <w:r>
        <w:t>。</w:t>
      </w:r>
    </w:p>
    <w:p w14:paraId="270268EE">
      <w:pPr>
        <w:spacing w:before="156" w:beforeLines="50" w:line="312" w:lineRule="auto"/>
        <w:ind w:firstLine="360"/>
        <w:jc w:val="center"/>
        <w:rPr>
          <w:rFonts w:eastAsia="黑体"/>
          <w:sz w:val="18"/>
        </w:rPr>
      </w:pPr>
      <w:r>
        <w:rPr>
          <w:rFonts w:eastAsia="黑体"/>
          <w:sz w:val="18"/>
        </w:rPr>
        <w:t>表4.</w:t>
      </w:r>
      <w:r>
        <w:rPr>
          <w:rFonts w:hint="eastAsia" w:eastAsia="黑体"/>
          <w:sz w:val="18"/>
        </w:rPr>
        <w:t>4.1</w:t>
      </w:r>
      <w:r>
        <w:rPr>
          <w:rFonts w:eastAsia="黑体"/>
          <w:sz w:val="18"/>
        </w:rPr>
        <w:t xml:space="preserve">  高延性混凝土的主要</w:t>
      </w:r>
      <w:r>
        <w:rPr>
          <w:rFonts w:hint="eastAsia" w:eastAsia="黑体"/>
          <w:sz w:val="18"/>
        </w:rPr>
        <w:t>耐久</w:t>
      </w:r>
      <w:r>
        <w:rPr>
          <w:rFonts w:eastAsia="黑体"/>
          <w:sz w:val="18"/>
        </w:rPr>
        <w:t>性能指标</w:t>
      </w:r>
    </w:p>
    <w:tbl>
      <w:tblPr>
        <w:tblStyle w:val="28"/>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4412"/>
        <w:gridCol w:w="3740"/>
      </w:tblGrid>
      <w:tr w14:paraId="5CFF569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blHeader/>
          <w:jc w:val="center"/>
        </w:trPr>
        <w:tc>
          <w:tcPr>
            <w:tcW w:w="2706" w:type="pct"/>
            <w:vAlign w:val="center"/>
          </w:tcPr>
          <w:p w14:paraId="22802C9B">
            <w:pPr>
              <w:pStyle w:val="55"/>
              <w:spacing w:before="31" w:after="31"/>
            </w:pPr>
            <w:r>
              <w:rPr>
                <w:rFonts w:hint="eastAsia"/>
              </w:rPr>
              <w:t>指标类别</w:t>
            </w:r>
          </w:p>
        </w:tc>
        <w:tc>
          <w:tcPr>
            <w:tcW w:w="2294" w:type="pct"/>
            <w:vAlign w:val="center"/>
          </w:tcPr>
          <w:p w14:paraId="2A3C0E5A">
            <w:pPr>
              <w:pStyle w:val="55"/>
              <w:spacing w:before="31" w:after="31"/>
            </w:pPr>
            <w:r>
              <w:rPr>
                <w:rFonts w:hint="eastAsia"/>
              </w:rPr>
              <w:t>等级要求</w:t>
            </w:r>
          </w:p>
        </w:tc>
      </w:tr>
      <w:tr w14:paraId="4E8896D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06" w:type="pct"/>
            <w:vAlign w:val="center"/>
          </w:tcPr>
          <w:p w14:paraId="4AA95B55">
            <w:pPr>
              <w:pStyle w:val="55"/>
              <w:spacing w:before="31" w:after="31"/>
            </w:pPr>
            <w:r>
              <w:t>抗冻试验（快冻法）</w:t>
            </w:r>
          </w:p>
        </w:tc>
        <w:tc>
          <w:tcPr>
            <w:tcW w:w="2294" w:type="pct"/>
            <w:vAlign w:val="center"/>
          </w:tcPr>
          <w:p w14:paraId="5E21B779">
            <w:pPr>
              <w:pStyle w:val="55"/>
              <w:spacing w:before="31" w:after="31"/>
            </w:pPr>
            <w:r>
              <w:rPr>
                <w:rFonts w:hint="eastAsia"/>
              </w:rPr>
              <w:t>≥</w:t>
            </w:r>
            <w:r>
              <w:t>F</w:t>
            </w:r>
            <w:r>
              <w:rPr>
                <w:rFonts w:hint="eastAsia"/>
              </w:rPr>
              <w:t>3</w:t>
            </w:r>
            <w:r>
              <w:t>00</w:t>
            </w:r>
          </w:p>
        </w:tc>
      </w:tr>
      <w:tr w14:paraId="7961045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06" w:type="pct"/>
            <w:vAlign w:val="center"/>
          </w:tcPr>
          <w:p w14:paraId="69108A6D">
            <w:pPr>
              <w:pStyle w:val="55"/>
              <w:spacing w:before="31" w:after="31"/>
            </w:pPr>
            <w:r>
              <w:t>抗水渗透试验（逐级加压法）</w:t>
            </w:r>
          </w:p>
        </w:tc>
        <w:tc>
          <w:tcPr>
            <w:tcW w:w="2294" w:type="pct"/>
            <w:vAlign w:val="center"/>
          </w:tcPr>
          <w:p w14:paraId="3A9B7840">
            <w:pPr>
              <w:pStyle w:val="55"/>
              <w:spacing w:before="31" w:after="31"/>
            </w:pPr>
            <w:r>
              <w:rPr>
                <w:rFonts w:hint="eastAsia"/>
              </w:rPr>
              <w:t>≥</w:t>
            </w:r>
            <w:r>
              <w:t>P1</w:t>
            </w:r>
            <w:r>
              <w:rPr>
                <w:rFonts w:hint="eastAsia"/>
              </w:rPr>
              <w:t>2</w:t>
            </w:r>
          </w:p>
        </w:tc>
      </w:tr>
      <w:tr w14:paraId="465C842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06" w:type="pct"/>
            <w:vAlign w:val="center"/>
          </w:tcPr>
          <w:p w14:paraId="19F1712D">
            <w:pPr>
              <w:pStyle w:val="55"/>
              <w:spacing w:before="31" w:after="31"/>
            </w:pPr>
            <w:r>
              <w:t>抗氯离子渗透性能-氯离子迁移系数</w:t>
            </w:r>
            <w:r>
              <w:rPr>
                <w:i/>
              </w:rPr>
              <w:t>D</w:t>
            </w:r>
            <w:r>
              <w:rPr>
                <w:vertAlign w:val="subscript"/>
              </w:rPr>
              <w:t>RCM</w:t>
            </w:r>
            <w:r>
              <w:t>（/10</w:t>
            </w:r>
            <w:r>
              <w:rPr>
                <w:vertAlign w:val="superscript"/>
              </w:rPr>
              <w:t>-12</w:t>
            </w:r>
            <w:r>
              <w:t>m</w:t>
            </w:r>
            <w:r>
              <w:rPr>
                <w:vertAlign w:val="superscript"/>
              </w:rPr>
              <w:t>2</w:t>
            </w:r>
            <w:r>
              <w:t>/s）</w:t>
            </w:r>
          </w:p>
        </w:tc>
        <w:tc>
          <w:tcPr>
            <w:tcW w:w="2294" w:type="pct"/>
            <w:vAlign w:val="center"/>
          </w:tcPr>
          <w:p w14:paraId="5E8F9BE5">
            <w:pPr>
              <w:pStyle w:val="55"/>
              <w:spacing w:before="31" w:after="31"/>
            </w:pPr>
            <w:r>
              <w:t>＜2.5</w:t>
            </w:r>
          </w:p>
        </w:tc>
      </w:tr>
      <w:tr w14:paraId="2728292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06" w:type="pct"/>
            <w:vAlign w:val="center"/>
          </w:tcPr>
          <w:p w14:paraId="6646651E">
            <w:pPr>
              <w:pStyle w:val="55"/>
              <w:spacing w:before="31" w:after="31"/>
            </w:pPr>
            <w:r>
              <w:t>抗硫酸盐侵蚀</w:t>
            </w:r>
            <w:r>
              <w:rPr>
                <w:rFonts w:hint="eastAsia"/>
              </w:rPr>
              <w:t>性能</w:t>
            </w:r>
          </w:p>
        </w:tc>
        <w:tc>
          <w:tcPr>
            <w:tcW w:w="2294" w:type="pct"/>
            <w:vAlign w:val="center"/>
          </w:tcPr>
          <w:p w14:paraId="35A21C65">
            <w:pPr>
              <w:pStyle w:val="55"/>
              <w:spacing w:before="31" w:after="31"/>
            </w:pPr>
            <w:r>
              <w:rPr>
                <w:rFonts w:hint="eastAsia"/>
              </w:rPr>
              <w:t>≥KS9</w:t>
            </w:r>
            <w:r>
              <w:t>0</w:t>
            </w:r>
          </w:p>
        </w:tc>
      </w:tr>
      <w:tr w14:paraId="5C1AC7E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06" w:type="pct"/>
            <w:vAlign w:val="center"/>
          </w:tcPr>
          <w:p w14:paraId="4ABEBA0B">
            <w:pPr>
              <w:pStyle w:val="55"/>
              <w:spacing w:before="31" w:after="31"/>
            </w:pPr>
            <w:r>
              <w:rPr>
                <w:rFonts w:hint="eastAsia"/>
              </w:rPr>
              <w:t>抗碳化性能-碳化28d的碳化深度d（mm）</w:t>
            </w:r>
          </w:p>
        </w:tc>
        <w:tc>
          <w:tcPr>
            <w:tcW w:w="2294" w:type="pct"/>
            <w:vAlign w:val="center"/>
          </w:tcPr>
          <w:p w14:paraId="11F416C9">
            <w:pPr>
              <w:pStyle w:val="55"/>
              <w:spacing w:before="31" w:after="31"/>
            </w:pPr>
            <w:r>
              <w:rPr>
                <w:rFonts w:hint="eastAsia"/>
              </w:rPr>
              <w:t>≤2.0mm</w:t>
            </w:r>
          </w:p>
        </w:tc>
      </w:tr>
    </w:tbl>
    <w:p w14:paraId="0A72D8AF">
      <w:pPr>
        <w:spacing w:line="312" w:lineRule="auto"/>
        <w:ind w:firstLine="422"/>
      </w:pPr>
      <w:r>
        <w:rPr>
          <w:rFonts w:hint="eastAsia"/>
          <w:b/>
        </w:rPr>
        <w:t>4.4.2</w:t>
      </w:r>
      <w:r>
        <w:t xml:space="preserve">  高延性混凝土的耐久性能，应按现行国家标准《普通混凝土长期性能和耐久性能试验方法标准》GB/T 50082的</w:t>
      </w:r>
      <w:r>
        <w:rPr>
          <w:rFonts w:hint="eastAsia"/>
        </w:rPr>
        <w:t>相关规定</w:t>
      </w:r>
      <w:r>
        <w:t>进行试件制作、养护及性能测试。并按现行行业标准《混凝土耐久性检验评定标准》JGJ/T 193的</w:t>
      </w:r>
      <w:r>
        <w:rPr>
          <w:rFonts w:hint="eastAsia"/>
        </w:rPr>
        <w:t>相关规定</w:t>
      </w:r>
      <w:r>
        <w:t>进行等级评定。</w:t>
      </w:r>
    </w:p>
    <w:p w14:paraId="5FDC3B1A">
      <w:pPr>
        <w:pStyle w:val="4"/>
      </w:pPr>
    </w:p>
    <w:p w14:paraId="1ED42B97">
      <w:pPr>
        <w:spacing w:after="156" w:line="450" w:lineRule="exact"/>
        <w:ind w:firstLine="800"/>
        <w:jc w:val="center"/>
        <w:rPr>
          <w:rFonts w:eastAsia="宋体" w:cs="Times New Roman"/>
          <w:snapToGrid w:val="0"/>
          <w:kern w:val="0"/>
          <w:sz w:val="28"/>
        </w:rPr>
      </w:pPr>
      <w:r>
        <w:rPr>
          <w:rFonts w:eastAsia="宋体" w:cs="Times New Roman"/>
          <w:snapToGrid w:val="0"/>
          <w:kern w:val="0"/>
          <w:sz w:val="40"/>
        </w:rPr>
        <w:br w:type="page"/>
      </w:r>
      <w:bookmarkEnd w:id="156"/>
      <w:bookmarkStart w:id="157" w:name="_Toc451067031"/>
      <w:bookmarkStart w:id="158" w:name="_Toc447816595"/>
      <w:bookmarkStart w:id="159" w:name="_Toc447817585"/>
      <w:bookmarkStart w:id="160" w:name="_Toc445196933"/>
    </w:p>
    <w:p w14:paraId="4FEAE3BA">
      <w:pPr>
        <w:pStyle w:val="2"/>
        <w:spacing w:after="312"/>
        <w:rPr>
          <w:snapToGrid w:val="0"/>
        </w:rPr>
      </w:pPr>
      <w:bookmarkStart w:id="161" w:name="_Toc63348850"/>
      <w:bookmarkStart w:id="162" w:name="_Toc48210134"/>
      <w:bookmarkStart w:id="163" w:name="_Toc32848341"/>
      <w:bookmarkStart w:id="164" w:name="_Toc32848241"/>
      <w:bookmarkStart w:id="165" w:name="_Toc54255553"/>
      <w:bookmarkStart w:id="166" w:name="_Toc48138967"/>
      <w:bookmarkStart w:id="167" w:name="_Toc25070644"/>
      <w:bookmarkStart w:id="168" w:name="_Toc48210025"/>
      <w:bookmarkStart w:id="169" w:name="_Toc52264497"/>
      <w:bookmarkStart w:id="170" w:name="_Toc48210357"/>
      <w:bookmarkStart w:id="171" w:name="_Toc63348926"/>
      <w:bookmarkStart w:id="172" w:name="_Toc54256648"/>
      <w:bookmarkStart w:id="173" w:name="_Toc19545226"/>
      <w:bookmarkStart w:id="174" w:name="_Toc25690873"/>
      <w:bookmarkStart w:id="175" w:name="_Toc32848342"/>
      <w:bookmarkStart w:id="176" w:name="_Toc32865084"/>
      <w:bookmarkStart w:id="177" w:name="_Toc48138889"/>
      <w:bookmarkStart w:id="178" w:name="_Toc38358403"/>
      <w:bookmarkStart w:id="179" w:name="_Toc32865004"/>
      <w:bookmarkStart w:id="180" w:name="_Toc32865083"/>
      <w:bookmarkStart w:id="181" w:name="_Toc32828381"/>
      <w:bookmarkStart w:id="182" w:name="_Toc67330594"/>
      <w:bookmarkStart w:id="183" w:name="_Toc38352777"/>
      <w:bookmarkStart w:id="184" w:name="_Toc17307"/>
      <w:bookmarkStart w:id="185" w:name="_Toc70169820"/>
      <w:bookmarkStart w:id="186" w:name="_Toc207111710"/>
      <w:bookmarkStart w:id="187" w:name="_Toc22011"/>
      <w:bookmarkStart w:id="188" w:name="_Toc70169740"/>
      <w:bookmarkStart w:id="189" w:name="_Toc79615797"/>
      <w:bookmarkStart w:id="190" w:name="_Toc8785"/>
      <w:bookmarkStart w:id="191" w:name="_Toc14212"/>
      <w:bookmarkStart w:id="192" w:name="_Toc28951"/>
      <w:bookmarkStart w:id="193" w:name="_Toc19783"/>
      <w:r>
        <w:rPr>
          <w:rFonts w:hint="eastAsia"/>
          <w:snapToGrid w:val="0"/>
        </w:rPr>
        <w:t>5  砌体</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Pr>
          <w:rFonts w:hint="eastAsia"/>
          <w:snapToGrid w:val="0"/>
        </w:rPr>
        <w:t>构件加固设计</w:t>
      </w:r>
      <w:bookmarkEnd w:id="184"/>
      <w:bookmarkEnd w:id="185"/>
      <w:bookmarkEnd w:id="186"/>
      <w:bookmarkEnd w:id="187"/>
      <w:bookmarkEnd w:id="188"/>
      <w:bookmarkEnd w:id="189"/>
      <w:bookmarkEnd w:id="190"/>
      <w:bookmarkEnd w:id="191"/>
      <w:bookmarkEnd w:id="192"/>
      <w:bookmarkEnd w:id="193"/>
    </w:p>
    <w:p w14:paraId="0A0501F5">
      <w:pPr>
        <w:pStyle w:val="3"/>
      </w:pPr>
      <w:bookmarkStart w:id="194" w:name="_Toc63348927"/>
      <w:bookmarkStart w:id="195" w:name="_Toc38358404"/>
      <w:bookmarkStart w:id="196" w:name="_Toc63348851"/>
      <w:bookmarkStart w:id="197" w:name="_Toc54256649"/>
      <w:bookmarkStart w:id="198" w:name="_Toc32865085"/>
      <w:bookmarkStart w:id="199" w:name="_Toc26761"/>
      <w:bookmarkStart w:id="200" w:name="_Toc25070645"/>
      <w:bookmarkStart w:id="201" w:name="_Toc54255554"/>
      <w:bookmarkStart w:id="202" w:name="_Toc18327"/>
      <w:bookmarkStart w:id="203" w:name="_Toc25690874"/>
      <w:bookmarkStart w:id="204" w:name="_Toc10062"/>
      <w:bookmarkStart w:id="205" w:name="_Toc12066"/>
      <w:bookmarkStart w:id="206" w:name="_Toc52264498"/>
      <w:bookmarkStart w:id="207" w:name="_Toc70169821"/>
      <w:bookmarkStart w:id="208" w:name="_Toc48210358"/>
      <w:bookmarkStart w:id="209" w:name="_Toc48138890"/>
      <w:bookmarkStart w:id="210" w:name="_Toc38352778"/>
      <w:bookmarkStart w:id="211" w:name="_Toc79615798"/>
      <w:bookmarkStart w:id="212" w:name="_Toc19545227"/>
      <w:bookmarkStart w:id="213" w:name="_Toc32848343"/>
      <w:bookmarkStart w:id="214" w:name="_Toc31348"/>
      <w:bookmarkStart w:id="215" w:name="_Toc207111711"/>
      <w:bookmarkStart w:id="216" w:name="_Toc31495"/>
      <w:bookmarkStart w:id="217" w:name="_Toc48210026"/>
      <w:bookmarkStart w:id="218" w:name="_Toc67330595"/>
      <w:bookmarkStart w:id="219" w:name="_Toc48138968"/>
      <w:bookmarkStart w:id="220" w:name="_Toc48210135"/>
      <w:bookmarkStart w:id="221" w:name="_Toc70169741"/>
      <w:r>
        <w:t>5.1  一般规定</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7D28D7D0">
      <w:pPr>
        <w:pStyle w:val="4"/>
      </w:pPr>
      <w:r>
        <w:rPr>
          <w:rFonts w:hint="eastAsia"/>
          <w:b/>
          <w:iCs/>
        </w:rPr>
        <w:t>5.1.</w:t>
      </w:r>
      <w:r>
        <w:rPr>
          <w:b/>
          <w:iCs/>
        </w:rPr>
        <w:t>1</w:t>
      </w:r>
      <w:r>
        <w:rPr>
          <w:b/>
        </w:rPr>
        <w:t xml:space="preserve">  </w:t>
      </w:r>
      <w:r>
        <w:rPr>
          <w:rFonts w:hint="eastAsia"/>
        </w:rPr>
        <w:t>砌体构件加固设计包括砌体抗压加固设计、砌体抗剪加固设计和砌体抗震加固设计。</w:t>
      </w:r>
    </w:p>
    <w:p w14:paraId="0047D59A">
      <w:pPr>
        <w:pStyle w:val="4"/>
        <w:rPr>
          <w:lang w:val="zh-CN"/>
        </w:rPr>
      </w:pPr>
      <w:r>
        <w:rPr>
          <w:rFonts w:hint="eastAsia"/>
          <w:b/>
          <w:iCs/>
        </w:rPr>
        <w:t>5.1.2</w:t>
      </w:r>
      <w:r>
        <w:rPr>
          <w:b/>
          <w:lang w:val="zh-CN"/>
        </w:rPr>
        <w:t xml:space="preserve"> </w:t>
      </w:r>
      <w:r>
        <w:rPr>
          <w:b/>
        </w:rPr>
        <w:t xml:space="preserve"> </w:t>
      </w:r>
      <w:r>
        <w:rPr>
          <w:lang w:val="zh-CN"/>
        </w:rPr>
        <w:t>本</w:t>
      </w:r>
      <w:r>
        <w:rPr>
          <w:rFonts w:hint="eastAsia"/>
        </w:rPr>
        <w:t>章节</w:t>
      </w:r>
      <w:r>
        <w:rPr>
          <w:lang w:val="zh-CN"/>
        </w:rPr>
        <w:t>适用于下列砌体结构</w:t>
      </w:r>
      <w:r>
        <w:rPr>
          <w:rFonts w:hint="eastAsia"/>
        </w:rPr>
        <w:t>的</w:t>
      </w:r>
      <w:r>
        <w:t>加固</w:t>
      </w:r>
      <w:r>
        <w:rPr>
          <w:lang w:val="zh-CN"/>
        </w:rPr>
        <w:t>设计：</w:t>
      </w:r>
    </w:p>
    <w:p w14:paraId="5EDA2007">
      <w:pPr>
        <w:ind w:firstLine="422"/>
      </w:pPr>
      <w:r>
        <w:rPr>
          <w:rFonts w:hint="eastAsia"/>
          <w:b/>
          <w:bCs/>
          <w:lang w:val="zh-CN"/>
        </w:rPr>
        <w:t>1</w:t>
      </w:r>
      <w:r>
        <w:rPr>
          <w:rFonts w:hint="eastAsia"/>
        </w:rPr>
        <w:t xml:space="preserve"> </w:t>
      </w:r>
      <w:r>
        <w:t xml:space="preserve"> 砖砌体：包括</w:t>
      </w:r>
      <w:r>
        <w:rPr>
          <w:lang w:val="zh-CN"/>
        </w:rPr>
        <w:t>烧结</w:t>
      </w:r>
      <w:r>
        <w:t>普通砖、烧结多孔砖、蒸压灰砂普通砖、蒸压粉煤灰普通砖、混凝土普通砖、混凝土多孔砖的无筋和配筋砌体；</w:t>
      </w:r>
    </w:p>
    <w:p w14:paraId="710B9764">
      <w:pPr>
        <w:ind w:firstLine="422"/>
      </w:pPr>
      <w:r>
        <w:rPr>
          <w:rFonts w:hint="eastAsia"/>
          <w:b/>
          <w:bCs/>
          <w:lang w:val="zh-CN"/>
        </w:rPr>
        <w:t>2</w:t>
      </w:r>
      <w:r>
        <w:rPr>
          <w:rFonts w:hint="eastAsia"/>
        </w:rPr>
        <w:t xml:space="preserve"> </w:t>
      </w:r>
      <w:r>
        <w:t xml:space="preserve"> 砌块砌体：包括混凝土砌块、轻集料混凝土砌块的无筋和配筋砌体</w:t>
      </w:r>
      <w:r>
        <w:rPr>
          <w:rFonts w:hint="eastAsia"/>
        </w:rPr>
        <w:t>；</w:t>
      </w:r>
    </w:p>
    <w:p w14:paraId="64BBC04D">
      <w:pPr>
        <w:ind w:firstLine="422"/>
      </w:pPr>
      <w:r>
        <w:rPr>
          <w:rFonts w:hint="eastAsia"/>
          <w:b/>
          <w:bCs/>
        </w:rPr>
        <w:t>3</w:t>
      </w:r>
      <w:r>
        <w:rPr>
          <w:rFonts w:hint="eastAsia"/>
        </w:rPr>
        <w:t xml:space="preserve"> </w:t>
      </w:r>
      <w:r>
        <w:t xml:space="preserve"> </w:t>
      </w:r>
      <w:r>
        <w:rPr>
          <w:rFonts w:hint="eastAsia"/>
        </w:rPr>
        <w:t>石</w:t>
      </w:r>
      <w:r>
        <w:t>砌体：包括</w:t>
      </w:r>
      <w:r>
        <w:rPr>
          <w:rFonts w:hint="eastAsia"/>
        </w:rPr>
        <w:t>各种料石和毛石的砌体；</w:t>
      </w:r>
    </w:p>
    <w:p w14:paraId="22EC3AAA">
      <w:pPr>
        <w:pStyle w:val="4"/>
        <w:rPr>
          <w:b/>
        </w:rPr>
      </w:pPr>
      <w:r>
        <w:rPr>
          <w:rFonts w:hint="eastAsia"/>
          <w:b/>
          <w:iCs/>
        </w:rPr>
        <w:t>5.1.3</w:t>
      </w:r>
      <w:r>
        <w:rPr>
          <w:b/>
        </w:rPr>
        <w:t xml:space="preserve">  </w:t>
      </w:r>
      <w:r>
        <w:rPr>
          <w:rFonts w:hint="eastAsia"/>
        </w:rPr>
        <w:t>高延性混凝土类别的选用应符合表5.1.3的规定。</w:t>
      </w:r>
    </w:p>
    <w:p w14:paraId="5B9363CC">
      <w:pPr>
        <w:pStyle w:val="56"/>
      </w:pPr>
      <w:r>
        <w:t>表</w:t>
      </w:r>
      <w:r>
        <w:rPr>
          <w:rFonts w:hint="eastAsia"/>
        </w:rPr>
        <w:t>5.1.3</w:t>
      </w:r>
      <w:r>
        <w:t xml:space="preserve">  高延性混凝土</w:t>
      </w:r>
      <w:r>
        <w:rPr>
          <w:rFonts w:hint="eastAsia"/>
        </w:rPr>
        <w:t>类别选用表</w:t>
      </w:r>
    </w:p>
    <w:tbl>
      <w:tblPr>
        <w:tblStyle w:val="28"/>
        <w:tblW w:w="826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336"/>
        <w:gridCol w:w="1928"/>
      </w:tblGrid>
      <w:tr w14:paraId="61613AB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6336" w:type="dxa"/>
            <w:vAlign w:val="center"/>
          </w:tcPr>
          <w:p w14:paraId="4068735C">
            <w:pPr>
              <w:pStyle w:val="55"/>
              <w:spacing w:before="31" w:after="31"/>
            </w:pPr>
            <w:bookmarkStart w:id="222" w:name="_Toc63348928"/>
            <w:bookmarkStart w:id="223" w:name="_Toc79615799"/>
            <w:bookmarkStart w:id="224" w:name="_Toc38352779"/>
            <w:bookmarkStart w:id="225" w:name="_Toc19545228"/>
            <w:bookmarkStart w:id="226" w:name="_Toc48210359"/>
            <w:bookmarkStart w:id="227" w:name="_Toc32865086"/>
            <w:bookmarkStart w:id="228" w:name="_Toc63348852"/>
            <w:bookmarkStart w:id="229" w:name="_Toc48138969"/>
            <w:bookmarkStart w:id="230" w:name="_Toc70169822"/>
            <w:bookmarkStart w:id="231" w:name="_Toc67330596"/>
            <w:bookmarkStart w:id="232" w:name="_Toc25070646"/>
            <w:bookmarkStart w:id="233" w:name="_Toc48138891"/>
            <w:bookmarkStart w:id="234" w:name="_Toc54256650"/>
            <w:bookmarkStart w:id="235" w:name="_Toc52264499"/>
            <w:bookmarkStart w:id="236" w:name="_Toc32848344"/>
            <w:bookmarkStart w:id="237" w:name="_Toc70169742"/>
            <w:bookmarkStart w:id="238" w:name="_Toc48210136"/>
            <w:bookmarkStart w:id="239" w:name="_Toc38358405"/>
            <w:bookmarkStart w:id="240" w:name="_Toc48210027"/>
            <w:bookmarkStart w:id="241" w:name="_Toc25690875"/>
            <w:bookmarkStart w:id="242" w:name="_Toc54255555"/>
            <w:r>
              <w:rPr>
                <w:rFonts w:hint="eastAsia"/>
              </w:rPr>
              <w:t>适用条件</w:t>
            </w:r>
          </w:p>
        </w:tc>
        <w:tc>
          <w:tcPr>
            <w:tcW w:w="1928" w:type="dxa"/>
            <w:vAlign w:val="center"/>
          </w:tcPr>
          <w:p w14:paraId="021E59A2">
            <w:pPr>
              <w:pStyle w:val="55"/>
              <w:spacing w:before="31" w:after="31"/>
            </w:pPr>
            <w:r>
              <w:rPr>
                <w:rFonts w:hint="eastAsia"/>
              </w:rPr>
              <w:t>高延性混凝土类别</w:t>
            </w:r>
          </w:p>
        </w:tc>
      </w:tr>
      <w:tr w14:paraId="0DC1B8C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36" w:type="dxa"/>
            <w:vAlign w:val="center"/>
          </w:tcPr>
          <w:p w14:paraId="6A169EC1">
            <w:pPr>
              <w:pStyle w:val="55"/>
              <w:spacing w:before="31" w:after="31"/>
            </w:pPr>
            <w:r>
              <w:rPr>
                <w:rFonts w:hint="eastAsia"/>
              </w:rPr>
              <w:t>乙类设防时，抗震设防烈度为7度且层数为五层及以上的砌体结构</w:t>
            </w:r>
          </w:p>
        </w:tc>
        <w:tc>
          <w:tcPr>
            <w:tcW w:w="1928" w:type="dxa"/>
            <w:vAlign w:val="center"/>
          </w:tcPr>
          <w:p w14:paraId="00D530E7">
            <w:pPr>
              <w:pStyle w:val="55"/>
              <w:spacing w:before="31" w:after="31"/>
            </w:pPr>
            <w:r>
              <w:t>I类</w:t>
            </w:r>
          </w:p>
        </w:tc>
      </w:tr>
      <w:tr w14:paraId="22BD1F5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36" w:type="dxa"/>
            <w:vAlign w:val="center"/>
          </w:tcPr>
          <w:p w14:paraId="5BDA803C">
            <w:pPr>
              <w:pStyle w:val="55"/>
              <w:spacing w:before="31" w:after="31"/>
            </w:pPr>
            <w:r>
              <w:rPr>
                <w:rFonts w:hint="eastAsia"/>
              </w:rPr>
              <w:t>乙类设防时，抗震设防烈度为7度且层数为五层以下的砌体结构</w:t>
            </w:r>
          </w:p>
        </w:tc>
        <w:tc>
          <w:tcPr>
            <w:tcW w:w="1928" w:type="dxa"/>
            <w:vAlign w:val="center"/>
          </w:tcPr>
          <w:p w14:paraId="6876703F">
            <w:pPr>
              <w:pStyle w:val="55"/>
              <w:spacing w:before="31" w:after="31"/>
            </w:pPr>
            <w:r>
              <w:t>不低于II类</w:t>
            </w:r>
          </w:p>
        </w:tc>
      </w:tr>
      <w:tr w14:paraId="53D2A46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36" w:type="dxa"/>
            <w:vAlign w:val="center"/>
          </w:tcPr>
          <w:p w14:paraId="4C692400">
            <w:pPr>
              <w:pStyle w:val="55"/>
              <w:spacing w:before="31" w:after="31"/>
            </w:pPr>
            <w:r>
              <w:rPr>
                <w:rFonts w:hint="eastAsia"/>
              </w:rPr>
              <w:t>丙类设防时，抗震设防烈度为7度的砌体结构</w:t>
            </w:r>
          </w:p>
        </w:tc>
        <w:tc>
          <w:tcPr>
            <w:tcW w:w="1928" w:type="dxa"/>
            <w:vAlign w:val="center"/>
          </w:tcPr>
          <w:p w14:paraId="7896FF72">
            <w:pPr>
              <w:pStyle w:val="55"/>
              <w:spacing w:before="31" w:after="31"/>
            </w:pPr>
            <w:r>
              <w:t>不低于</w:t>
            </w:r>
            <w:r>
              <w:fldChar w:fldCharType="begin"/>
            </w:r>
            <w:r>
              <w:instrText xml:space="preserve"> = 3 \* ROMAN </w:instrText>
            </w:r>
            <w:r>
              <w:fldChar w:fldCharType="separate"/>
            </w:r>
            <w:r>
              <w:t>III</w:t>
            </w:r>
            <w:r>
              <w:fldChar w:fldCharType="end"/>
            </w:r>
            <w:r>
              <w:t>类</w:t>
            </w:r>
          </w:p>
        </w:tc>
      </w:tr>
      <w:tr w14:paraId="1F8A19D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36" w:type="dxa"/>
            <w:vAlign w:val="center"/>
          </w:tcPr>
          <w:p w14:paraId="52F93A10">
            <w:pPr>
              <w:pStyle w:val="55"/>
              <w:spacing w:before="31" w:after="31"/>
            </w:pPr>
            <w:r>
              <w:rPr>
                <w:rFonts w:hint="eastAsia"/>
              </w:rPr>
              <w:t>抗震设防烈度为6度或抗震设防分类为丁类的砌体结构</w:t>
            </w:r>
          </w:p>
        </w:tc>
        <w:tc>
          <w:tcPr>
            <w:tcW w:w="1928" w:type="dxa"/>
            <w:vAlign w:val="center"/>
          </w:tcPr>
          <w:p w14:paraId="3E355852">
            <w:pPr>
              <w:pStyle w:val="55"/>
              <w:spacing w:before="31" w:after="31"/>
            </w:pPr>
            <w:r>
              <w:t>不低于IV类</w:t>
            </w:r>
          </w:p>
        </w:tc>
      </w:tr>
    </w:tbl>
    <w:p w14:paraId="566A4262">
      <w:pPr>
        <w:spacing w:line="312" w:lineRule="auto"/>
        <w:ind w:firstLine="422"/>
      </w:pPr>
      <w:bookmarkStart w:id="243" w:name="_Toc2256"/>
      <w:bookmarkStart w:id="244" w:name="_Toc10308"/>
      <w:bookmarkStart w:id="245" w:name="_Toc15006"/>
      <w:bookmarkStart w:id="246" w:name="_Toc4638"/>
      <w:bookmarkStart w:id="247" w:name="_Toc7771"/>
      <w:bookmarkStart w:id="248" w:name="_Toc20288"/>
      <w:bookmarkStart w:id="249" w:name="_Toc207111712"/>
      <w:r>
        <w:rPr>
          <w:rFonts w:hint="eastAsia"/>
          <w:b/>
          <w:bCs/>
        </w:rPr>
        <w:t>5</w:t>
      </w:r>
      <w:r>
        <w:rPr>
          <w:b/>
          <w:bCs/>
        </w:rPr>
        <w:t>.1.</w:t>
      </w:r>
      <w:r>
        <w:rPr>
          <w:rFonts w:hint="eastAsia"/>
          <w:b/>
          <w:bCs/>
        </w:rPr>
        <w:t>4</w:t>
      </w:r>
      <w:r>
        <w:t xml:space="preserve"> </w:t>
      </w:r>
      <w:r>
        <w:rPr>
          <w:rFonts w:hint="eastAsia"/>
        </w:rPr>
        <w:t xml:space="preserve"> 高延性混凝土面层加固及配筋高延性混凝土面层加固砌体结构构件时，其加固后承载力计算应符合本标准的相关规定，并满足国家现行标准相关规定。</w:t>
      </w:r>
    </w:p>
    <w:p w14:paraId="45819739">
      <w:pPr>
        <w:spacing w:line="312" w:lineRule="auto"/>
        <w:ind w:firstLine="422"/>
      </w:pPr>
      <w:r>
        <w:rPr>
          <w:rFonts w:hint="eastAsia"/>
          <w:b/>
          <w:bCs/>
        </w:rPr>
        <w:t xml:space="preserve">5.1.5  </w:t>
      </w:r>
      <w:r>
        <w:rPr>
          <w:rFonts w:hint="eastAsia"/>
        </w:rPr>
        <w:t>高延性混凝土加固时，应考虑结构刚度增大而导致地震作用效应增大的影响，同时避免因局部加强或刚度突变形成新的薄弱部位。</w:t>
      </w:r>
    </w:p>
    <w:p w14:paraId="100DC444">
      <w:pPr>
        <w:pStyle w:val="3"/>
      </w:pPr>
      <w:r>
        <w:rPr>
          <w:rFonts w:hint="eastAsia"/>
        </w:rPr>
        <w:t>5.2  砌体抗压加固</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7B2F2DE8">
      <w:pPr>
        <w:pStyle w:val="4"/>
      </w:pPr>
      <w:r>
        <w:rPr>
          <w:rFonts w:hint="eastAsia"/>
          <w:b/>
          <w:iCs/>
        </w:rPr>
        <w:t>5.2.1</w:t>
      </w:r>
      <w:r>
        <w:rPr>
          <w:b/>
        </w:rPr>
        <w:t xml:space="preserve"> </w:t>
      </w:r>
      <w:r>
        <w:t xml:space="preserve"> </w:t>
      </w:r>
      <w:r>
        <w:rPr>
          <w:rFonts w:hint="eastAsia"/>
        </w:rPr>
        <w:t>高延性混凝土加固轴心受压构件的正截面受压承载力应按下式验算：</w:t>
      </w:r>
    </w:p>
    <w:p w14:paraId="5C0108E0">
      <w:pPr>
        <w:spacing w:after="312"/>
        <w:ind w:firstLine="480"/>
        <w:jc w:val="right"/>
        <w:rPr>
          <w:sz w:val="24"/>
          <w:szCs w:val="24"/>
        </w:rPr>
      </w:pPr>
      <w:r>
        <w:rPr>
          <w:position w:val="-14"/>
          <w:sz w:val="24"/>
          <w:szCs w:val="24"/>
        </w:rPr>
        <w:object>
          <v:shape id="_x0000_i1041" o:spt="75" type="#_x0000_t75" style="height:23.65pt;width:208.5pt;" o:ole="t" filled="f" o:preferrelative="t" stroked="f" coordsize="21600,21600">
            <v:path/>
            <v:fill on="f" focussize="0,0"/>
            <v:stroke on="f" joinstyle="miter"/>
            <v:imagedata r:id="rId48" o:title=""/>
            <o:lock v:ext="edit" aspectratio="t"/>
            <w10:wrap type="none"/>
            <w10:anchorlock/>
          </v:shape>
          <o:OLEObject Type="Embed" ProgID="Equation.DSMT4" ShapeID="_x0000_i1041" DrawAspect="Content" ObjectID="_1468075741" r:id="rId47">
            <o:LockedField>false</o:LockedField>
          </o:OLEObject>
        </w:object>
      </w:r>
      <w:r>
        <w:rPr>
          <w:sz w:val="24"/>
          <w:szCs w:val="24"/>
        </w:rPr>
        <w:t xml:space="preserve">          </w:t>
      </w:r>
      <w:r>
        <w:rPr>
          <w:rFonts w:cs="Times New Roman"/>
          <w:sz w:val="28"/>
          <w:szCs w:val="28"/>
        </w:rPr>
        <w:t>（5.2.1）</w:t>
      </w:r>
    </w:p>
    <w:tbl>
      <w:tblPr>
        <w:tblStyle w:val="28"/>
        <w:tblW w:w="7934" w:type="dxa"/>
        <w:tblInd w:w="0" w:type="dxa"/>
        <w:tblLayout w:type="fixed"/>
        <w:tblCellMar>
          <w:top w:w="0" w:type="dxa"/>
          <w:left w:w="108" w:type="dxa"/>
          <w:bottom w:w="0" w:type="dxa"/>
          <w:right w:w="108" w:type="dxa"/>
        </w:tblCellMar>
      </w:tblPr>
      <w:tblGrid>
        <w:gridCol w:w="1474"/>
        <w:gridCol w:w="6460"/>
      </w:tblGrid>
      <w:tr w14:paraId="13758744">
        <w:tblPrEx>
          <w:tblCellMar>
            <w:top w:w="0" w:type="dxa"/>
            <w:left w:w="108" w:type="dxa"/>
            <w:bottom w:w="0" w:type="dxa"/>
            <w:right w:w="108" w:type="dxa"/>
          </w:tblCellMar>
        </w:tblPrEx>
        <w:tc>
          <w:tcPr>
            <w:tcW w:w="1474" w:type="dxa"/>
          </w:tcPr>
          <w:p w14:paraId="2EBE7349">
            <w:pPr>
              <w:pStyle w:val="55"/>
              <w:spacing w:before="31" w:after="31"/>
            </w:pPr>
            <w:r>
              <w:t>式中：</w:t>
            </w:r>
          </w:p>
        </w:tc>
        <w:tc>
          <w:tcPr>
            <w:tcW w:w="6460" w:type="dxa"/>
            <w:tcMar>
              <w:left w:w="0" w:type="dxa"/>
            </w:tcMar>
            <w:vAlign w:val="center"/>
          </w:tcPr>
          <w:p w14:paraId="5B597F4D">
            <w:pPr>
              <w:pStyle w:val="55"/>
              <w:spacing w:before="31" w:after="31"/>
              <w:rPr>
                <w:kern w:val="0"/>
              </w:rPr>
            </w:pPr>
          </w:p>
        </w:tc>
      </w:tr>
      <w:tr w14:paraId="7A053EE0">
        <w:tblPrEx>
          <w:tblCellMar>
            <w:top w:w="0" w:type="dxa"/>
            <w:left w:w="108" w:type="dxa"/>
            <w:bottom w:w="0" w:type="dxa"/>
            <w:right w:w="108" w:type="dxa"/>
          </w:tblCellMar>
        </w:tblPrEx>
        <w:tc>
          <w:tcPr>
            <w:tcW w:w="1474" w:type="dxa"/>
          </w:tcPr>
          <w:p w14:paraId="1ED2EA76">
            <w:pPr>
              <w:pStyle w:val="55"/>
              <w:spacing w:before="31" w:after="31"/>
              <w:rPr>
                <w:kern w:val="0"/>
              </w:rPr>
            </w:pPr>
            <w:bookmarkStart w:id="250" w:name="_Toc25070654"/>
            <w:bookmarkStart w:id="251" w:name="_Toc19545506"/>
            <w:bookmarkStart w:id="252" w:name="_Toc25690612"/>
            <w:bookmarkStart w:id="253" w:name="_Toc10207169"/>
            <w:bookmarkStart w:id="254" w:name="_Toc19545236"/>
            <w:bookmarkStart w:id="255" w:name="_Toc25690883"/>
            <w:bookmarkStart w:id="256" w:name="_Toc25070352"/>
            <w:r>
              <w:rPr>
                <w:i/>
                <w:kern w:val="0"/>
              </w:rPr>
              <w:t>N</w:t>
            </w:r>
            <w:r>
              <w:rPr>
                <w:kern w:val="0"/>
              </w:rPr>
              <w:t>——</w:t>
            </w:r>
          </w:p>
        </w:tc>
        <w:tc>
          <w:tcPr>
            <w:tcW w:w="6460" w:type="dxa"/>
            <w:tcMar>
              <w:left w:w="0" w:type="dxa"/>
            </w:tcMar>
            <w:vAlign w:val="center"/>
          </w:tcPr>
          <w:p w14:paraId="1C797188">
            <w:pPr>
              <w:pStyle w:val="55"/>
              <w:spacing w:before="31" w:after="31"/>
              <w:jc w:val="left"/>
              <w:rPr>
                <w:kern w:val="0"/>
              </w:rPr>
            </w:pPr>
            <w:r>
              <w:rPr>
                <w:kern w:val="0"/>
              </w:rPr>
              <w:t>构件轴向压力设计值；</w:t>
            </w:r>
          </w:p>
        </w:tc>
      </w:tr>
      <w:tr w14:paraId="3C65935B">
        <w:tblPrEx>
          <w:tblCellMar>
            <w:top w:w="0" w:type="dxa"/>
            <w:left w:w="108" w:type="dxa"/>
            <w:bottom w:w="0" w:type="dxa"/>
            <w:right w:w="108" w:type="dxa"/>
          </w:tblCellMar>
        </w:tblPrEx>
        <w:tc>
          <w:tcPr>
            <w:tcW w:w="1474" w:type="dxa"/>
          </w:tcPr>
          <w:p w14:paraId="364A1ABA">
            <w:pPr>
              <w:pStyle w:val="55"/>
              <w:spacing w:before="31" w:after="31"/>
              <w:rPr>
                <w:kern w:val="0"/>
              </w:rPr>
            </w:pPr>
            <w:r>
              <w:rPr>
                <w:position w:val="-10"/>
              </w:rPr>
              <w:object>
                <v:shape id="_x0000_i1042" o:spt="75" type="#_x0000_t75" style="height:19.9pt;width:30.65pt;" o:ole="t" filled="f" o:preferrelative="t" stroked="f" coordsize="21600,21600">
                  <v:path/>
                  <v:fill on="f" focussize="0,0"/>
                  <v:stroke on="f" joinstyle="miter"/>
                  <v:imagedata r:id="rId34" o:title=""/>
                  <o:lock v:ext="edit" aspectratio="t"/>
                  <w10:wrap type="none"/>
                  <w10:anchorlock/>
                </v:shape>
                <o:OLEObject Type="Embed" ProgID="Equation.DSMT4" ShapeID="_x0000_i1042" DrawAspect="Content" ObjectID="_1468075742" r:id="rId49">
                  <o:LockedField>false</o:LockedField>
                </o:OLEObject>
              </w:object>
            </w:r>
            <w:r>
              <w:rPr>
                <w:kern w:val="0"/>
              </w:rPr>
              <w:t>——</w:t>
            </w:r>
          </w:p>
        </w:tc>
        <w:tc>
          <w:tcPr>
            <w:tcW w:w="6460" w:type="dxa"/>
            <w:tcMar>
              <w:left w:w="0" w:type="dxa"/>
            </w:tcMar>
            <w:vAlign w:val="center"/>
          </w:tcPr>
          <w:p w14:paraId="53F01514">
            <w:pPr>
              <w:pStyle w:val="55"/>
              <w:spacing w:before="31" w:after="31"/>
              <w:jc w:val="left"/>
              <w:rPr>
                <w:kern w:val="0"/>
              </w:rPr>
            </w:pPr>
            <w:r>
              <w:rPr>
                <w:kern w:val="0"/>
              </w:rPr>
              <w:t>轴心受压构件的稳定系数，可根据加固后截面的高厚比及配筋率，按现行国家标准《砌体结构设计规范》GB 50003的规定取值；</w:t>
            </w:r>
          </w:p>
        </w:tc>
      </w:tr>
      <w:tr w14:paraId="0B444A77">
        <w:tblPrEx>
          <w:tblCellMar>
            <w:top w:w="0" w:type="dxa"/>
            <w:left w:w="108" w:type="dxa"/>
            <w:bottom w:w="0" w:type="dxa"/>
            <w:right w:w="108" w:type="dxa"/>
          </w:tblCellMar>
        </w:tblPrEx>
        <w:tc>
          <w:tcPr>
            <w:tcW w:w="1474" w:type="dxa"/>
          </w:tcPr>
          <w:p w14:paraId="1FD2E3E6">
            <w:pPr>
              <w:pStyle w:val="55"/>
              <w:spacing w:before="31" w:after="31"/>
              <w:rPr>
                <w:kern w:val="0"/>
              </w:rPr>
            </w:pPr>
            <w:r>
              <w:rPr>
                <w:position w:val="-10"/>
              </w:rPr>
              <w:object>
                <v:shape id="_x0000_i1043" o:spt="75" type="#_x0000_t75" style="height:19.9pt;width:25.25pt;" o:ole="t" filled="f" o:preferrelative="t" stroked="f" coordsize="21600,21600">
                  <v:path/>
                  <v:fill on="f" focussize="0,0"/>
                  <v:stroke on="f" joinstyle="miter"/>
                  <v:imagedata r:id="rId51" o:title=""/>
                  <o:lock v:ext="edit" aspectratio="t"/>
                  <w10:wrap type="none"/>
                  <w10:anchorlock/>
                </v:shape>
                <o:OLEObject Type="Embed" ProgID="Equation.DSMT4" ShapeID="_x0000_i1043" DrawAspect="Content" ObjectID="_1468075743" r:id="rId50">
                  <o:LockedField>false</o:LockedField>
                </o:OLEObject>
              </w:object>
            </w:r>
            <w:r>
              <w:rPr>
                <w:kern w:val="0"/>
              </w:rPr>
              <w:t>——</w:t>
            </w:r>
          </w:p>
        </w:tc>
        <w:tc>
          <w:tcPr>
            <w:tcW w:w="6460" w:type="dxa"/>
            <w:tcMar>
              <w:left w:w="0" w:type="dxa"/>
            </w:tcMar>
            <w:vAlign w:val="center"/>
          </w:tcPr>
          <w:p w14:paraId="787DC039">
            <w:pPr>
              <w:pStyle w:val="55"/>
              <w:spacing w:before="31" w:after="31"/>
              <w:jc w:val="left"/>
              <w:rPr>
                <w:kern w:val="0"/>
              </w:rPr>
            </w:pPr>
            <w:r>
              <w:rPr>
                <w:kern w:val="0"/>
              </w:rPr>
              <w:t>原构件砌体抗压强度设计值；</w:t>
            </w:r>
          </w:p>
        </w:tc>
      </w:tr>
      <w:tr w14:paraId="6D9042D3">
        <w:tblPrEx>
          <w:tblCellMar>
            <w:top w:w="0" w:type="dxa"/>
            <w:left w:w="108" w:type="dxa"/>
            <w:bottom w:w="0" w:type="dxa"/>
            <w:right w:w="108" w:type="dxa"/>
          </w:tblCellMar>
        </w:tblPrEx>
        <w:tc>
          <w:tcPr>
            <w:tcW w:w="1474" w:type="dxa"/>
          </w:tcPr>
          <w:p w14:paraId="55E95F2B">
            <w:pPr>
              <w:pStyle w:val="55"/>
              <w:spacing w:before="31" w:after="31"/>
              <w:rPr>
                <w:kern w:val="0"/>
              </w:rPr>
            </w:pPr>
            <w:r>
              <w:rPr>
                <w:position w:val="-10"/>
              </w:rPr>
              <w:object>
                <v:shape id="_x0000_i1044" o:spt="75" type="#_x0000_t75" style="height:18.25pt;width:28.5pt;" o:ole="t" filled="f" o:preferrelative="t" stroked="f" coordsize="21600,21600">
                  <v:path/>
                  <v:fill on="f" focussize="0,0"/>
                  <v:stroke on="f" joinstyle="miter"/>
                  <v:imagedata r:id="rId53" o:title=""/>
                  <o:lock v:ext="edit" aspectratio="t"/>
                  <w10:wrap type="none"/>
                  <w10:anchorlock/>
                </v:shape>
                <o:OLEObject Type="Embed" ProgID="Equation.DSMT4" ShapeID="_x0000_i1044" DrawAspect="Content" ObjectID="_1468075744" r:id="rId52">
                  <o:LockedField>false</o:LockedField>
                </o:OLEObject>
              </w:object>
            </w:r>
            <w:r>
              <w:rPr>
                <w:kern w:val="0"/>
              </w:rPr>
              <w:t>——</w:t>
            </w:r>
          </w:p>
        </w:tc>
        <w:tc>
          <w:tcPr>
            <w:tcW w:w="6460" w:type="dxa"/>
            <w:tcMar>
              <w:left w:w="0" w:type="dxa"/>
            </w:tcMar>
            <w:vAlign w:val="center"/>
          </w:tcPr>
          <w:p w14:paraId="74F4C757">
            <w:pPr>
              <w:pStyle w:val="55"/>
              <w:spacing w:before="31" w:after="31"/>
              <w:jc w:val="left"/>
              <w:rPr>
                <w:kern w:val="0"/>
              </w:rPr>
            </w:pPr>
            <w:bookmarkStart w:id="257" w:name="_Toc535475948"/>
            <w:bookmarkStart w:id="258" w:name="_Toc25070648"/>
            <w:bookmarkStart w:id="259" w:name="_Toc7976082"/>
            <w:bookmarkStart w:id="260" w:name="_Toc515893942"/>
            <w:bookmarkStart w:id="261" w:name="_Toc19545230"/>
            <w:bookmarkStart w:id="262" w:name="_Toc532464307"/>
            <w:bookmarkStart w:id="263" w:name="_Toc532461030"/>
            <w:bookmarkStart w:id="264" w:name="_Toc515087738"/>
            <w:bookmarkStart w:id="265" w:name="_Toc535338396"/>
            <w:bookmarkStart w:id="266" w:name="_Toc19545500"/>
            <w:bookmarkStart w:id="267" w:name="_Toc25070346"/>
            <w:bookmarkStart w:id="268" w:name="_Toc25690606"/>
            <w:bookmarkStart w:id="269" w:name="_Toc504569999"/>
            <w:bookmarkStart w:id="270" w:name="_Toc519683906"/>
            <w:bookmarkStart w:id="271" w:name="_Toc9927648"/>
            <w:bookmarkStart w:id="272" w:name="_Toc534633682"/>
            <w:bookmarkStart w:id="273" w:name="_Toc25690877"/>
            <w:bookmarkStart w:id="274" w:name="_Toc10207163"/>
            <w:bookmarkStart w:id="275" w:name="_Toc519684089"/>
            <w:r>
              <w:rPr>
                <w:kern w:val="0"/>
              </w:rPr>
              <w:t>原构件截面面积；</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Pr>
                <w:kern w:val="0"/>
              </w:rPr>
              <w:t>对空斗墙砌体构件，应取其净截面面积进行计算；</w:t>
            </w:r>
          </w:p>
        </w:tc>
      </w:tr>
      <w:tr w14:paraId="2D9BB4BE">
        <w:tblPrEx>
          <w:tblCellMar>
            <w:top w:w="0" w:type="dxa"/>
            <w:left w:w="108" w:type="dxa"/>
            <w:bottom w:w="0" w:type="dxa"/>
            <w:right w:w="108" w:type="dxa"/>
          </w:tblCellMar>
        </w:tblPrEx>
        <w:tc>
          <w:tcPr>
            <w:tcW w:w="1474" w:type="dxa"/>
          </w:tcPr>
          <w:p w14:paraId="526079FC">
            <w:pPr>
              <w:pStyle w:val="55"/>
              <w:spacing w:before="31" w:after="31"/>
              <w:rPr>
                <w:kern w:val="0"/>
              </w:rPr>
            </w:pPr>
            <w:r>
              <w:rPr>
                <w:position w:val="-10"/>
              </w:rPr>
              <w:object>
                <v:shape id="_x0000_i1045" o:spt="75" type="#_x0000_t75" style="height:19.9pt;width:23.65pt;" o:ole="t" filled="f" o:preferrelative="t" stroked="f" coordsize="21600,21600">
                  <v:path/>
                  <v:fill on="f" focussize="0,0"/>
                  <v:stroke on="f" joinstyle="miter"/>
                  <v:imagedata r:id="rId55" o:title=""/>
                  <o:lock v:ext="edit" aspectratio="t"/>
                  <w10:wrap type="none"/>
                  <w10:anchorlock/>
                </v:shape>
                <o:OLEObject Type="Embed" ProgID="Equation.DSMT4" ShapeID="_x0000_i1045" DrawAspect="Content" ObjectID="_1468075745" r:id="rId54">
                  <o:LockedField>false</o:LockedField>
                </o:OLEObject>
              </w:object>
            </w:r>
            <w:r>
              <w:rPr>
                <w:kern w:val="0"/>
              </w:rPr>
              <w:t>——</w:t>
            </w:r>
          </w:p>
        </w:tc>
        <w:tc>
          <w:tcPr>
            <w:tcW w:w="6460" w:type="dxa"/>
            <w:tcMar>
              <w:left w:w="0" w:type="dxa"/>
            </w:tcMar>
            <w:vAlign w:val="center"/>
          </w:tcPr>
          <w:p w14:paraId="5A349096">
            <w:pPr>
              <w:pStyle w:val="55"/>
              <w:spacing w:before="31" w:after="31"/>
              <w:jc w:val="left"/>
              <w:rPr>
                <w:kern w:val="0"/>
              </w:rPr>
            </w:pPr>
            <w:r>
              <w:rPr>
                <w:kern w:val="0"/>
              </w:rPr>
              <w:t>抗压加固时的高延性混凝土强度利用系数，对砖砌体</w:t>
            </w:r>
            <w:r>
              <w:t>取</w:t>
            </w:r>
            <w:r>
              <w:rPr>
                <w:position w:val="-10"/>
              </w:rPr>
              <w:object>
                <v:shape id="_x0000_i1046" o:spt="75" type="#_x0000_t75" style="height:19.9pt;width:32.8pt;" o:ole="t" filled="f" o:preferrelative="t" stroked="f" coordsize="21600,21600">
                  <v:path/>
                  <v:fill on="f" focussize="0,0"/>
                  <v:stroke on="f" joinstyle="miter"/>
                  <v:imagedata r:id="rId57" o:title=""/>
                  <o:lock v:ext="edit" aspectratio="t"/>
                  <w10:wrap type="none"/>
                  <w10:anchorlock/>
                </v:shape>
                <o:OLEObject Type="Embed" ProgID="Equation.DSMT4" ShapeID="_x0000_i1046" DrawAspect="Content" ObjectID="_1468075746" r:id="rId56">
                  <o:LockedField>false</o:LockedField>
                </o:OLEObject>
              </w:object>
            </w:r>
            <w:r>
              <w:t>0.15；</w:t>
            </w:r>
          </w:p>
        </w:tc>
      </w:tr>
      <w:tr w14:paraId="12F175AB">
        <w:tblPrEx>
          <w:tblCellMar>
            <w:top w:w="0" w:type="dxa"/>
            <w:left w:w="108" w:type="dxa"/>
            <w:bottom w:w="0" w:type="dxa"/>
            <w:right w:w="108" w:type="dxa"/>
          </w:tblCellMar>
        </w:tblPrEx>
        <w:tc>
          <w:tcPr>
            <w:tcW w:w="1474" w:type="dxa"/>
          </w:tcPr>
          <w:p w14:paraId="4971A63A">
            <w:pPr>
              <w:pStyle w:val="55"/>
              <w:spacing w:before="31" w:after="31"/>
              <w:rPr>
                <w:kern w:val="0"/>
              </w:rPr>
            </w:pPr>
            <w:r>
              <w:rPr>
                <w:position w:val="-10"/>
              </w:rPr>
              <w:object>
                <v:shape id="_x0000_i1047" o:spt="75" type="#_x0000_t75" style="height:19.9pt;width:19.9pt;" o:ole="t" filled="f" o:preferrelative="t" stroked="f" coordsize="21600,21600">
                  <v:path/>
                  <v:fill on="f" focussize="0,0"/>
                  <v:stroke on="f" joinstyle="miter"/>
                  <v:imagedata r:id="rId59" o:title=""/>
                  <o:lock v:ext="edit" aspectratio="t"/>
                  <w10:wrap type="none"/>
                  <w10:anchorlock/>
                </v:shape>
                <o:OLEObject Type="Embed" ProgID="Equation.DSMT4" ShapeID="_x0000_i1047" DrawAspect="Content" ObjectID="_1468075747" r:id="rId58">
                  <o:LockedField>false</o:LockedField>
                </o:OLEObject>
              </w:object>
            </w:r>
            <w:r>
              <w:rPr>
                <w:kern w:val="0"/>
              </w:rPr>
              <w:t>——</w:t>
            </w:r>
          </w:p>
        </w:tc>
        <w:tc>
          <w:tcPr>
            <w:tcW w:w="6460" w:type="dxa"/>
            <w:tcMar>
              <w:left w:w="0" w:type="dxa"/>
            </w:tcMar>
            <w:vAlign w:val="center"/>
          </w:tcPr>
          <w:p w14:paraId="2802EAAB">
            <w:pPr>
              <w:pStyle w:val="55"/>
              <w:spacing w:before="31" w:after="31"/>
              <w:jc w:val="left"/>
              <w:rPr>
                <w:kern w:val="0"/>
              </w:rPr>
            </w:pPr>
            <w:r>
              <w:rPr>
                <w:kern w:val="0"/>
              </w:rPr>
              <w:t>高延性混凝土轴心抗压强度设计值；</w:t>
            </w:r>
          </w:p>
        </w:tc>
      </w:tr>
      <w:tr w14:paraId="7C74865E">
        <w:tblPrEx>
          <w:tblCellMar>
            <w:top w:w="0" w:type="dxa"/>
            <w:left w:w="108" w:type="dxa"/>
            <w:bottom w:w="0" w:type="dxa"/>
            <w:right w:w="108" w:type="dxa"/>
          </w:tblCellMar>
        </w:tblPrEx>
        <w:tc>
          <w:tcPr>
            <w:tcW w:w="1474" w:type="dxa"/>
          </w:tcPr>
          <w:p w14:paraId="543BE8E7">
            <w:pPr>
              <w:pStyle w:val="55"/>
              <w:spacing w:before="31" w:after="31"/>
              <w:rPr>
                <w:kern w:val="0"/>
              </w:rPr>
            </w:pPr>
            <w:r>
              <w:rPr>
                <w:position w:val="-10"/>
              </w:rPr>
              <w:object>
                <v:shape id="_x0000_i1048" o:spt="75" type="#_x0000_t75" style="height:19.9pt;width:19.9pt;" o:ole="t" filled="f" o:preferrelative="t" stroked="f" coordsize="21600,21600">
                  <v:path/>
                  <v:fill on="f" focussize="0,0"/>
                  <v:stroke on="f" joinstyle="miter"/>
                  <v:imagedata r:id="rId61" o:title=""/>
                  <o:lock v:ext="edit" aspectratio="t"/>
                  <w10:wrap type="none"/>
                  <w10:anchorlock/>
                </v:shape>
                <o:OLEObject Type="Embed" ProgID="Equation.DSMT4" ShapeID="_x0000_i1048" DrawAspect="Content" ObjectID="_1468075748" r:id="rId60">
                  <o:LockedField>false</o:LockedField>
                </o:OLEObject>
              </w:object>
            </w:r>
            <w:r>
              <w:rPr>
                <w:kern w:val="0"/>
              </w:rPr>
              <w:t>——</w:t>
            </w:r>
          </w:p>
        </w:tc>
        <w:tc>
          <w:tcPr>
            <w:tcW w:w="6460" w:type="dxa"/>
            <w:tcMar>
              <w:left w:w="0" w:type="dxa"/>
            </w:tcMar>
            <w:vAlign w:val="center"/>
          </w:tcPr>
          <w:p w14:paraId="1962C036">
            <w:pPr>
              <w:pStyle w:val="55"/>
              <w:spacing w:before="31" w:after="31"/>
              <w:jc w:val="left"/>
              <w:rPr>
                <w:kern w:val="0"/>
              </w:rPr>
            </w:pPr>
            <w:r>
              <w:rPr>
                <w:kern w:val="0"/>
              </w:rPr>
              <w:t>新增高延性混凝土面层的截面面积；</w:t>
            </w:r>
          </w:p>
        </w:tc>
      </w:tr>
      <w:tr w14:paraId="4621D62A">
        <w:tblPrEx>
          <w:tblCellMar>
            <w:top w:w="0" w:type="dxa"/>
            <w:left w:w="108" w:type="dxa"/>
            <w:bottom w:w="0" w:type="dxa"/>
            <w:right w:w="108" w:type="dxa"/>
          </w:tblCellMar>
        </w:tblPrEx>
        <w:tc>
          <w:tcPr>
            <w:tcW w:w="1474" w:type="dxa"/>
          </w:tcPr>
          <w:p w14:paraId="1D53D18A">
            <w:pPr>
              <w:pStyle w:val="55"/>
              <w:spacing w:before="31" w:after="31"/>
              <w:rPr>
                <w:kern w:val="0"/>
              </w:rPr>
            </w:pPr>
            <w:r>
              <w:rPr>
                <w:position w:val="-10"/>
              </w:rPr>
              <w:object>
                <v:shape id="_x0000_i1049" o:spt="75" type="#_x0000_t75" style="height:19.9pt;width:25.25pt;" o:ole="t" filled="f" o:preferrelative="t" stroked="f" coordsize="21600,21600">
                  <v:path/>
                  <v:fill on="f" focussize="0,0"/>
                  <v:stroke on="f" joinstyle="miter"/>
                  <v:imagedata r:id="rId63" o:title=""/>
                  <o:lock v:ext="edit" aspectratio="t"/>
                  <w10:wrap type="none"/>
                  <w10:anchorlock/>
                </v:shape>
                <o:OLEObject Type="Embed" ProgID="Equation.DSMT4" ShapeID="_x0000_i1049" DrawAspect="Content" ObjectID="_1468075749" r:id="rId62">
                  <o:LockedField>false</o:LockedField>
                </o:OLEObject>
              </w:object>
            </w:r>
            <w:r>
              <w:rPr>
                <w:kern w:val="0"/>
              </w:rPr>
              <w:t>——</w:t>
            </w:r>
          </w:p>
        </w:tc>
        <w:tc>
          <w:tcPr>
            <w:tcW w:w="6460" w:type="dxa"/>
            <w:tcMar>
              <w:left w:w="0" w:type="dxa"/>
            </w:tcMar>
            <w:vAlign w:val="center"/>
          </w:tcPr>
          <w:p w14:paraId="339A6BAF">
            <w:pPr>
              <w:pStyle w:val="55"/>
              <w:spacing w:before="31" w:after="31"/>
              <w:jc w:val="left"/>
              <w:rPr>
                <w:kern w:val="0"/>
              </w:rPr>
            </w:pPr>
            <w:r>
              <w:rPr>
                <w:kern w:val="0"/>
              </w:rPr>
              <w:t>轴心受压构件钢筋强度利用系数，对砖砌体，取</w:t>
            </w:r>
            <w:r>
              <w:rPr>
                <w:position w:val="-10"/>
              </w:rPr>
              <w:object>
                <v:shape id="_x0000_i1050" o:spt="75" type="#_x0000_t75" style="height:18.25pt;width:55.9pt;" o:ole="t" filled="f" o:preferrelative="t" stroked="f" coordsize="21600,21600">
                  <v:path/>
                  <v:fill on="f" focussize="0,0"/>
                  <v:stroke on="f" joinstyle="miter"/>
                  <v:imagedata r:id="rId65" o:title=""/>
                  <o:lock v:ext="edit" aspectratio="t"/>
                  <w10:wrap type="none"/>
                  <w10:anchorlock/>
                </v:shape>
                <o:OLEObject Type="Embed" ProgID="Equation.DSMT4" ShapeID="_x0000_i1050" DrawAspect="Content" ObjectID="_1468075750" r:id="rId64">
                  <o:LockedField>false</o:LockedField>
                </o:OLEObject>
              </w:object>
            </w:r>
            <w:r>
              <w:rPr>
                <w:kern w:val="0"/>
              </w:rPr>
              <w:t>；</w:t>
            </w:r>
          </w:p>
        </w:tc>
      </w:tr>
      <w:tr w14:paraId="2435AB3B">
        <w:tblPrEx>
          <w:tblCellMar>
            <w:top w:w="0" w:type="dxa"/>
            <w:left w:w="108" w:type="dxa"/>
            <w:bottom w:w="0" w:type="dxa"/>
            <w:right w:w="108" w:type="dxa"/>
          </w:tblCellMar>
        </w:tblPrEx>
        <w:tc>
          <w:tcPr>
            <w:tcW w:w="1474" w:type="dxa"/>
          </w:tcPr>
          <w:p w14:paraId="1B21EEF0">
            <w:pPr>
              <w:pStyle w:val="55"/>
              <w:spacing w:before="31" w:after="31"/>
              <w:rPr>
                <w:kern w:val="0"/>
                <w:position w:val="-10"/>
              </w:rPr>
            </w:pPr>
            <w:r>
              <w:rPr>
                <w:position w:val="-14"/>
              </w:rPr>
              <w:object>
                <v:shape id="_x0000_i1051" o:spt="75" type="#_x0000_t75" style="height:19.9pt;width:16.1pt;" o:ole="t" filled="f" o:preferrelative="t" stroked="f" coordsize="21600,21600">
                  <v:path/>
                  <v:fill on="f" focussize="0,0"/>
                  <v:stroke on="f" joinstyle="miter"/>
                  <v:imagedata r:id="rId67" o:title=""/>
                  <o:lock v:ext="edit" aspectratio="t"/>
                  <w10:wrap type="none"/>
                  <w10:anchorlock/>
                </v:shape>
                <o:OLEObject Type="Embed" ProgID="Equation.DSMT4" ShapeID="_x0000_i1051" DrawAspect="Content" ObjectID="_1468075751" r:id="rId66">
                  <o:LockedField>false</o:LockedField>
                </o:OLEObject>
              </w:object>
            </w:r>
            <w:r>
              <w:rPr>
                <w:kern w:val="0"/>
              </w:rPr>
              <w:t>——</w:t>
            </w:r>
          </w:p>
        </w:tc>
        <w:tc>
          <w:tcPr>
            <w:tcW w:w="6460" w:type="dxa"/>
            <w:tcMar>
              <w:left w:w="0" w:type="dxa"/>
            </w:tcMar>
            <w:vAlign w:val="center"/>
          </w:tcPr>
          <w:p w14:paraId="7FD83351">
            <w:pPr>
              <w:pStyle w:val="55"/>
              <w:spacing w:before="31" w:after="31"/>
              <w:jc w:val="left"/>
              <w:rPr>
                <w:kern w:val="0"/>
              </w:rPr>
            </w:pPr>
            <w:r>
              <w:rPr>
                <w:kern w:val="0"/>
              </w:rPr>
              <w:t>新增竖向钢筋抗压强度设计值；</w:t>
            </w:r>
          </w:p>
        </w:tc>
      </w:tr>
      <w:tr w14:paraId="2FE34442">
        <w:tblPrEx>
          <w:tblCellMar>
            <w:top w:w="0" w:type="dxa"/>
            <w:left w:w="108" w:type="dxa"/>
            <w:bottom w:w="0" w:type="dxa"/>
            <w:right w:w="108" w:type="dxa"/>
          </w:tblCellMar>
        </w:tblPrEx>
        <w:tc>
          <w:tcPr>
            <w:tcW w:w="1474" w:type="dxa"/>
          </w:tcPr>
          <w:p w14:paraId="39F6B333">
            <w:pPr>
              <w:pStyle w:val="55"/>
              <w:spacing w:before="31" w:after="31"/>
              <w:rPr>
                <w:kern w:val="0"/>
                <w:position w:val="-10"/>
              </w:rPr>
            </w:pPr>
            <w:r>
              <w:rPr>
                <w:position w:val="-10"/>
              </w:rPr>
              <w:object>
                <v:shape id="_x0000_i1052" o:spt="75" type="#_x0000_t75" style="height:19.9pt;width:19.9pt;" o:ole="t" filled="f" o:preferrelative="t" stroked="f" coordsize="21600,21600">
                  <v:path/>
                  <v:fill on="f" focussize="0,0"/>
                  <v:stroke on="f" joinstyle="miter"/>
                  <v:imagedata r:id="rId69" o:title=""/>
                  <o:lock v:ext="edit" aspectratio="t"/>
                  <w10:wrap type="none"/>
                  <w10:anchorlock/>
                </v:shape>
                <o:OLEObject Type="Embed" ProgID="Equation.DSMT4" ShapeID="_x0000_i1052" DrawAspect="Content" ObjectID="_1468075752" r:id="rId68">
                  <o:LockedField>false</o:LockedField>
                </o:OLEObject>
              </w:object>
            </w:r>
            <w:r>
              <w:rPr>
                <w:kern w:val="0"/>
              </w:rPr>
              <w:t>——</w:t>
            </w:r>
          </w:p>
        </w:tc>
        <w:tc>
          <w:tcPr>
            <w:tcW w:w="6460" w:type="dxa"/>
            <w:tcMar>
              <w:left w:w="0" w:type="dxa"/>
            </w:tcMar>
            <w:vAlign w:val="center"/>
          </w:tcPr>
          <w:p w14:paraId="48459148">
            <w:pPr>
              <w:pStyle w:val="55"/>
              <w:spacing w:before="31" w:after="31"/>
              <w:jc w:val="left"/>
              <w:rPr>
                <w:kern w:val="0"/>
              </w:rPr>
            </w:pPr>
            <w:r>
              <w:rPr>
                <w:kern w:val="0"/>
              </w:rPr>
              <w:t>新增受压区竖向钢筋截面面积。</w:t>
            </w:r>
          </w:p>
        </w:tc>
      </w:tr>
    </w:tbl>
    <w:p w14:paraId="3CBE6E4B">
      <w:pPr>
        <w:pStyle w:val="4"/>
      </w:pPr>
      <w:r>
        <w:rPr>
          <w:rFonts w:hint="eastAsia"/>
          <w:b/>
          <w:iCs/>
        </w:rPr>
        <w:t>5.2.2</w:t>
      </w:r>
      <w:r>
        <w:t xml:space="preserve">  </w:t>
      </w:r>
      <w:r>
        <w:rPr>
          <w:rFonts w:hint="eastAsia"/>
        </w:rPr>
        <w:t>高延性混凝土加固偏心受压构件（图5.2.2）的正截面受压承载力应符合下列规定：</w:t>
      </w:r>
      <w:bookmarkEnd w:id="250"/>
      <w:bookmarkEnd w:id="251"/>
      <w:bookmarkEnd w:id="252"/>
      <w:bookmarkEnd w:id="253"/>
      <w:bookmarkEnd w:id="254"/>
      <w:bookmarkEnd w:id="255"/>
      <w:bookmarkEnd w:id="256"/>
    </w:p>
    <w:p w14:paraId="709A16AC">
      <w:pPr>
        <w:spacing w:after="156"/>
        <w:ind w:firstLine="420"/>
        <w:jc w:val="center"/>
        <w:rPr>
          <w:rFonts w:eastAsia="黑体"/>
        </w:rPr>
      </w:pPr>
      <w:r>
        <w:drawing>
          <wp:inline distT="0" distB="0" distL="114300" distR="114300">
            <wp:extent cx="1430020" cy="2700020"/>
            <wp:effectExtent l="0" t="0" r="2540" b="12700"/>
            <wp:docPr id="13"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31"/>
                    <pic:cNvPicPr>
                      <a:picLocks noChangeAspect="1"/>
                    </pic:cNvPicPr>
                  </pic:nvPicPr>
                  <pic:blipFill>
                    <a:blip r:embed="rId70"/>
                    <a:stretch>
                      <a:fillRect/>
                    </a:stretch>
                  </pic:blipFill>
                  <pic:spPr>
                    <a:xfrm>
                      <a:off x="0" y="0"/>
                      <a:ext cx="1430020" cy="2700020"/>
                    </a:xfrm>
                    <a:prstGeom prst="rect">
                      <a:avLst/>
                    </a:prstGeom>
                    <a:noFill/>
                    <a:ln>
                      <a:noFill/>
                    </a:ln>
                  </pic:spPr>
                </pic:pic>
              </a:graphicData>
            </a:graphic>
          </wp:inline>
        </w:drawing>
      </w:r>
      <w:r>
        <w:rPr>
          <w:rFonts w:hint="eastAsia"/>
        </w:rPr>
        <w:t xml:space="preserve">   </w:t>
      </w:r>
      <w:r>
        <w:drawing>
          <wp:inline distT="0" distB="0" distL="114300" distR="114300">
            <wp:extent cx="1426845" cy="2771775"/>
            <wp:effectExtent l="0" t="0" r="5715" b="1905"/>
            <wp:docPr id="15"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32"/>
                    <pic:cNvPicPr>
                      <a:picLocks noChangeAspect="1"/>
                    </pic:cNvPicPr>
                  </pic:nvPicPr>
                  <pic:blipFill>
                    <a:blip r:embed="rId71"/>
                    <a:stretch>
                      <a:fillRect/>
                    </a:stretch>
                  </pic:blipFill>
                  <pic:spPr>
                    <a:xfrm>
                      <a:off x="0" y="0"/>
                      <a:ext cx="1426845" cy="2771775"/>
                    </a:xfrm>
                    <a:prstGeom prst="rect">
                      <a:avLst/>
                    </a:prstGeom>
                    <a:noFill/>
                    <a:ln>
                      <a:noFill/>
                    </a:ln>
                  </pic:spPr>
                </pic:pic>
              </a:graphicData>
            </a:graphic>
          </wp:inline>
        </w:drawing>
      </w:r>
    </w:p>
    <w:p w14:paraId="6264C61C">
      <w:pPr>
        <w:spacing w:after="312" w:line="312" w:lineRule="auto"/>
        <w:ind w:firstLine="1680" w:firstLineChars="800"/>
        <w:jc w:val="left"/>
        <w:rPr>
          <w:rFonts w:cs="Times New Roman"/>
          <w:szCs w:val="21"/>
        </w:rPr>
      </w:pPr>
      <w:r>
        <w:rPr>
          <w:rFonts w:cs="Times New Roman"/>
          <w:szCs w:val="21"/>
        </w:rPr>
        <w:t xml:space="preserve">（a）小偏心受压     </w:t>
      </w:r>
      <w:r>
        <w:rPr>
          <w:rFonts w:hint="eastAsia" w:cs="Times New Roman"/>
          <w:szCs w:val="21"/>
        </w:rPr>
        <w:t xml:space="preserve">   </w:t>
      </w:r>
      <w:r>
        <w:rPr>
          <w:rFonts w:cs="Times New Roman"/>
          <w:szCs w:val="21"/>
        </w:rPr>
        <w:t xml:space="preserve">   （b）大偏心受压</w:t>
      </w:r>
    </w:p>
    <w:p w14:paraId="4F11034D">
      <w:pPr>
        <w:spacing w:after="312" w:line="312" w:lineRule="auto"/>
        <w:ind w:firstLine="420"/>
        <w:jc w:val="center"/>
        <w:rPr>
          <w:rFonts w:cs="Times New Roman"/>
          <w:szCs w:val="21"/>
        </w:rPr>
      </w:pPr>
      <w:r>
        <w:rPr>
          <w:rFonts w:cs="Times New Roman"/>
          <w:szCs w:val="21"/>
        </w:rPr>
        <w:t>图5.2.2 加固后的偏心受压构件</w:t>
      </w:r>
    </w:p>
    <w:p w14:paraId="5AB886B9">
      <w:pPr>
        <w:spacing w:after="312" w:line="312" w:lineRule="auto"/>
        <w:ind w:right="90" w:firstLine="480"/>
        <w:jc w:val="right"/>
        <w:rPr>
          <w:sz w:val="24"/>
          <w:szCs w:val="24"/>
        </w:rPr>
      </w:pPr>
      <w:bookmarkStart w:id="276" w:name="_Toc25690886"/>
      <w:bookmarkStart w:id="277" w:name="_Toc19545509"/>
      <w:bookmarkStart w:id="278" w:name="_Toc25070355"/>
      <w:bookmarkStart w:id="279" w:name="_Toc10207172"/>
      <w:bookmarkStart w:id="280" w:name="_Toc19545239"/>
      <w:bookmarkStart w:id="281" w:name="_Toc25070657"/>
      <w:bookmarkStart w:id="282" w:name="_Toc25690615"/>
      <w:r>
        <w:rPr>
          <w:position w:val="-14"/>
          <w:sz w:val="24"/>
          <w:szCs w:val="24"/>
        </w:rPr>
        <w:object>
          <v:shape id="_x0000_i1053" o:spt="75" type="#_x0000_t75" style="height:23.65pt;width:210.65pt;" o:ole="t" filled="f" o:preferrelative="t" stroked="f" coordsize="21600,21600">
            <v:path/>
            <v:fill on="f" focussize="0,0"/>
            <v:stroke on="f" joinstyle="miter"/>
            <v:imagedata r:id="rId73" o:title=""/>
            <o:lock v:ext="edit" aspectratio="t"/>
            <w10:wrap type="none"/>
            <w10:anchorlock/>
          </v:shape>
          <o:OLEObject Type="Embed" ProgID="Equation.DSMT4" ShapeID="_x0000_i1053" DrawAspect="Content" ObjectID="_1468075753" r:id="rId72">
            <o:LockedField>false</o:LockedField>
          </o:OLEObject>
        </w:object>
      </w:r>
      <w:r>
        <w:rPr>
          <w:sz w:val="24"/>
          <w:szCs w:val="24"/>
        </w:rPr>
        <w:t xml:space="preserve">    </w:t>
      </w:r>
      <w:r>
        <w:rPr>
          <w:rFonts w:hint="eastAsia"/>
          <w:sz w:val="24"/>
          <w:szCs w:val="24"/>
        </w:rPr>
        <w:t xml:space="preserve"> </w:t>
      </w:r>
      <w:r>
        <w:rPr>
          <w:sz w:val="24"/>
          <w:szCs w:val="24"/>
        </w:rPr>
        <w:t xml:space="preserve">   </w:t>
      </w:r>
      <w:r>
        <w:rPr>
          <w:rFonts w:cs="Times New Roman"/>
          <w:sz w:val="28"/>
          <w:szCs w:val="28"/>
        </w:rPr>
        <w:t>（5.2.2-1）</w:t>
      </w:r>
    </w:p>
    <w:p w14:paraId="74155AAB">
      <w:pPr>
        <w:spacing w:after="312" w:line="312" w:lineRule="auto"/>
        <w:ind w:right="90" w:firstLine="480"/>
        <w:jc w:val="right"/>
        <w:rPr>
          <w:sz w:val="24"/>
          <w:szCs w:val="24"/>
        </w:rPr>
      </w:pPr>
      <w:r>
        <w:rPr>
          <w:position w:val="-14"/>
          <w:sz w:val="24"/>
          <w:szCs w:val="24"/>
        </w:rPr>
        <w:object>
          <v:shape id="_x0000_i1054" o:spt="75" type="#_x0000_t75" style="height:23.65pt;width:234.25pt;" o:ole="t" filled="f" o:preferrelative="t" stroked="f" coordsize="21600,21600">
            <v:path/>
            <v:fill on="f" focussize="0,0"/>
            <v:stroke on="f" joinstyle="miter"/>
            <v:imagedata r:id="rId75" o:title=""/>
            <o:lock v:ext="edit" aspectratio="t"/>
            <w10:wrap type="none"/>
            <w10:anchorlock/>
          </v:shape>
          <o:OLEObject Type="Embed" ProgID="Equation.DSMT4" ShapeID="_x0000_i1054" DrawAspect="Content" ObjectID="_1468075754" r:id="rId74">
            <o:LockedField>false</o:LockedField>
          </o:OLEObject>
        </w:object>
      </w:r>
      <w:r>
        <w:rPr>
          <w:sz w:val="24"/>
          <w:szCs w:val="24"/>
        </w:rPr>
        <w:t xml:space="preserve">  </w:t>
      </w:r>
      <w:r>
        <w:rPr>
          <w:rFonts w:hint="eastAsia"/>
          <w:sz w:val="24"/>
          <w:szCs w:val="24"/>
        </w:rPr>
        <w:t xml:space="preserve"> </w:t>
      </w:r>
      <w:r>
        <w:rPr>
          <w:sz w:val="24"/>
          <w:szCs w:val="24"/>
        </w:rPr>
        <w:t xml:space="preserve">  </w:t>
      </w:r>
      <w:r>
        <w:rPr>
          <w:rFonts w:cs="Times New Roman"/>
          <w:sz w:val="28"/>
          <w:szCs w:val="28"/>
        </w:rPr>
        <w:t>（5.2.2-2）</w:t>
      </w:r>
    </w:p>
    <w:bookmarkEnd w:id="276"/>
    <w:bookmarkEnd w:id="277"/>
    <w:bookmarkEnd w:id="278"/>
    <w:bookmarkEnd w:id="279"/>
    <w:bookmarkEnd w:id="280"/>
    <w:bookmarkEnd w:id="281"/>
    <w:bookmarkEnd w:id="282"/>
    <w:p w14:paraId="72444ECD">
      <w:pPr>
        <w:wordWrap w:val="0"/>
        <w:spacing w:after="312" w:line="312" w:lineRule="auto"/>
        <w:ind w:firstLine="480"/>
        <w:jc w:val="right"/>
        <w:rPr>
          <w:i/>
          <w:position w:val="-14"/>
          <w:sz w:val="24"/>
          <w:szCs w:val="24"/>
        </w:rPr>
      </w:pPr>
      <w:bookmarkStart w:id="283" w:name="_Toc10207181"/>
      <w:bookmarkStart w:id="284" w:name="_Toc19545518"/>
      <w:bookmarkStart w:id="285" w:name="_Toc25070666"/>
      <w:bookmarkStart w:id="286" w:name="_Toc19545248"/>
      <w:bookmarkStart w:id="287" w:name="_Toc25690624"/>
      <w:bookmarkStart w:id="288" w:name="_Toc25690895"/>
      <w:bookmarkStart w:id="289" w:name="_Toc25070364"/>
      <w:r>
        <w:rPr>
          <w:i/>
          <w:position w:val="-10"/>
          <w:sz w:val="24"/>
          <w:szCs w:val="24"/>
        </w:rPr>
        <w:object>
          <v:shape id="_x0000_i1055" o:spt="75" type="#_x0000_t75" style="height:19.9pt;width:140.8pt;" o:ole="t" filled="f" o:preferrelative="t" stroked="f" coordsize="21600,21600">
            <v:path/>
            <v:fill on="f" focussize="0,0"/>
            <v:stroke on="f" joinstyle="miter"/>
            <v:imagedata r:id="rId77" o:title=""/>
            <o:lock v:ext="edit" aspectratio="t"/>
            <w10:wrap type="none"/>
            <w10:anchorlock/>
          </v:shape>
          <o:OLEObject Type="Embed" ProgID="Equation.DSMT4" ShapeID="_x0000_i1055" DrawAspect="Content" ObjectID="_1468075755" r:id="rId76">
            <o:LockedField>false</o:LockedField>
          </o:OLEObject>
        </w:object>
      </w:r>
      <w:r>
        <w:rPr>
          <w:sz w:val="24"/>
          <w:szCs w:val="24"/>
        </w:rPr>
        <w:t xml:space="preserve">   </w:t>
      </w:r>
      <w:r>
        <w:rPr>
          <w:rFonts w:hint="eastAsia"/>
          <w:sz w:val="24"/>
          <w:szCs w:val="24"/>
        </w:rPr>
        <w:t xml:space="preserve">    </w:t>
      </w:r>
      <w:r>
        <w:rPr>
          <w:sz w:val="24"/>
          <w:szCs w:val="24"/>
        </w:rPr>
        <w:t xml:space="preserve">   </w:t>
      </w:r>
      <w:r>
        <w:rPr>
          <w:rFonts w:cs="Times New Roman"/>
          <w:sz w:val="28"/>
          <w:szCs w:val="28"/>
        </w:rPr>
        <w:t>（5.2.2-</w:t>
      </w:r>
      <w:r>
        <w:rPr>
          <w:rFonts w:hint="eastAsia" w:cs="Times New Roman"/>
          <w:sz w:val="28"/>
          <w:szCs w:val="28"/>
        </w:rPr>
        <w:t>3</w:t>
      </w:r>
      <w:r>
        <w:rPr>
          <w:rFonts w:cs="Times New Roman"/>
          <w:sz w:val="28"/>
          <w:szCs w:val="28"/>
        </w:rPr>
        <w:t>）</w:t>
      </w:r>
      <w:bookmarkEnd w:id="283"/>
      <w:bookmarkEnd w:id="284"/>
      <w:bookmarkEnd w:id="285"/>
      <w:bookmarkEnd w:id="286"/>
      <w:bookmarkEnd w:id="287"/>
      <w:bookmarkEnd w:id="288"/>
      <w:bookmarkEnd w:id="289"/>
    </w:p>
    <w:p w14:paraId="418FF1E7">
      <w:pPr>
        <w:wordWrap w:val="0"/>
        <w:spacing w:after="312" w:line="312" w:lineRule="auto"/>
        <w:ind w:firstLine="480"/>
        <w:jc w:val="right"/>
        <w:rPr>
          <w:i/>
          <w:position w:val="-14"/>
          <w:sz w:val="24"/>
          <w:szCs w:val="24"/>
        </w:rPr>
      </w:pPr>
      <w:bookmarkStart w:id="290" w:name="_Toc25690896"/>
      <w:bookmarkStart w:id="291" w:name="_Toc19545519"/>
      <w:bookmarkStart w:id="292" w:name="_Toc25690625"/>
      <w:bookmarkStart w:id="293" w:name="_Toc19545249"/>
      <w:bookmarkStart w:id="294" w:name="_Toc25070365"/>
      <w:bookmarkStart w:id="295" w:name="_Toc25070667"/>
      <w:bookmarkStart w:id="296" w:name="_Toc10207182"/>
      <w:r>
        <w:rPr>
          <w:i/>
          <w:position w:val="-10"/>
          <w:sz w:val="24"/>
          <w:szCs w:val="24"/>
        </w:rPr>
        <w:object>
          <v:shape id="_x0000_i1056" o:spt="75" type="#_x0000_t75" style="height:19.9pt;width:146.15pt;" o:ole="t" filled="f" o:preferrelative="t" stroked="f" coordsize="21600,21600">
            <v:path/>
            <v:fill on="f" focussize="0,0"/>
            <v:stroke on="f" joinstyle="miter"/>
            <v:imagedata r:id="rId79" o:title=""/>
            <o:lock v:ext="edit" aspectratio="t"/>
            <w10:wrap type="none"/>
            <w10:anchorlock/>
          </v:shape>
          <o:OLEObject Type="Embed" ProgID="Equation.DSMT4" ShapeID="_x0000_i1056" DrawAspect="Content" ObjectID="_1468075756" r:id="rId78">
            <o:LockedField>false</o:LockedField>
          </o:OLEObject>
        </w:object>
      </w:r>
      <w:r>
        <w:rPr>
          <w:sz w:val="24"/>
          <w:szCs w:val="24"/>
        </w:rPr>
        <w:t xml:space="preserve">     </w:t>
      </w:r>
      <w:r>
        <w:rPr>
          <w:rFonts w:hint="eastAsia"/>
          <w:sz w:val="24"/>
          <w:szCs w:val="24"/>
        </w:rPr>
        <w:t xml:space="preserve">  </w:t>
      </w:r>
      <w:r>
        <w:rPr>
          <w:sz w:val="24"/>
          <w:szCs w:val="24"/>
        </w:rPr>
        <w:t xml:space="preserve">   </w:t>
      </w:r>
      <w:r>
        <w:rPr>
          <w:rFonts w:cs="Times New Roman"/>
          <w:sz w:val="28"/>
          <w:szCs w:val="28"/>
        </w:rPr>
        <w:t>（5.2.2-</w:t>
      </w:r>
      <w:r>
        <w:rPr>
          <w:rFonts w:hint="eastAsia" w:cs="Times New Roman"/>
          <w:sz w:val="28"/>
          <w:szCs w:val="28"/>
        </w:rPr>
        <w:t>4</w:t>
      </w:r>
      <w:r>
        <w:rPr>
          <w:rFonts w:cs="Times New Roman"/>
          <w:sz w:val="28"/>
          <w:szCs w:val="28"/>
        </w:rPr>
        <w:t>）</w:t>
      </w:r>
      <w:bookmarkEnd w:id="290"/>
      <w:bookmarkEnd w:id="291"/>
      <w:bookmarkEnd w:id="292"/>
      <w:bookmarkEnd w:id="293"/>
      <w:bookmarkEnd w:id="294"/>
      <w:bookmarkEnd w:id="295"/>
      <w:bookmarkEnd w:id="296"/>
    </w:p>
    <w:p w14:paraId="4A400641">
      <w:pPr>
        <w:wordWrap w:val="0"/>
        <w:spacing w:after="312" w:line="312" w:lineRule="auto"/>
        <w:ind w:firstLine="480"/>
        <w:jc w:val="right"/>
        <w:rPr>
          <w:i/>
          <w:sz w:val="24"/>
          <w:szCs w:val="24"/>
        </w:rPr>
      </w:pPr>
      <w:bookmarkStart w:id="297" w:name="_Toc25690626"/>
      <w:bookmarkStart w:id="298" w:name="_Toc19545520"/>
      <w:bookmarkStart w:id="299" w:name="_Toc25070366"/>
      <w:bookmarkStart w:id="300" w:name="_Toc19545250"/>
      <w:bookmarkStart w:id="301" w:name="_Toc25690897"/>
      <w:bookmarkStart w:id="302" w:name="_Toc25070668"/>
      <w:bookmarkStart w:id="303" w:name="_Toc10207183"/>
      <w:r>
        <w:rPr>
          <w:i/>
          <w:position w:val="-22"/>
          <w:sz w:val="24"/>
          <w:szCs w:val="24"/>
        </w:rPr>
        <w:object>
          <v:shape id="_x0000_i1057" o:spt="75" type="#_x0000_t75" style="height:36pt;width:124.1pt;" o:ole="t" filled="f" o:preferrelative="t" stroked="f" coordsize="21600,21600">
            <v:path/>
            <v:fill on="f" focussize="0,0"/>
            <v:stroke on="f" joinstyle="miter"/>
            <v:imagedata r:id="rId81" o:title=""/>
            <o:lock v:ext="edit" aspectratio="t"/>
            <w10:wrap type="none"/>
            <w10:anchorlock/>
          </v:shape>
          <o:OLEObject Type="Embed" ProgID="Equation.DSMT4" ShapeID="_x0000_i1057" DrawAspect="Content" ObjectID="_1468075757" r:id="rId80">
            <o:LockedField>false</o:LockedField>
          </o:OLEObject>
        </w:object>
      </w:r>
      <w:r>
        <w:rPr>
          <w:sz w:val="24"/>
          <w:szCs w:val="24"/>
        </w:rPr>
        <w:t xml:space="preserve">   </w:t>
      </w:r>
      <w:r>
        <w:rPr>
          <w:rFonts w:hint="eastAsia"/>
          <w:sz w:val="24"/>
          <w:szCs w:val="24"/>
        </w:rPr>
        <w:t xml:space="preserve">     </w:t>
      </w:r>
      <w:r>
        <w:rPr>
          <w:sz w:val="24"/>
          <w:szCs w:val="24"/>
        </w:rPr>
        <w:t xml:space="preserve">  </w:t>
      </w:r>
      <w:r>
        <w:rPr>
          <w:rFonts w:cs="Times New Roman"/>
          <w:sz w:val="28"/>
          <w:szCs w:val="28"/>
        </w:rPr>
        <w:t>（5.2.2-</w:t>
      </w:r>
      <w:r>
        <w:rPr>
          <w:rFonts w:hint="eastAsia" w:cs="Times New Roman"/>
          <w:sz w:val="28"/>
          <w:szCs w:val="28"/>
        </w:rPr>
        <w:t>5</w:t>
      </w:r>
      <w:r>
        <w:rPr>
          <w:rFonts w:cs="Times New Roman"/>
          <w:sz w:val="28"/>
          <w:szCs w:val="28"/>
        </w:rPr>
        <w:t>）</w:t>
      </w:r>
      <w:bookmarkEnd w:id="297"/>
      <w:bookmarkEnd w:id="298"/>
      <w:bookmarkEnd w:id="299"/>
      <w:bookmarkEnd w:id="300"/>
      <w:bookmarkEnd w:id="301"/>
      <w:bookmarkEnd w:id="302"/>
      <w:bookmarkEnd w:id="303"/>
    </w:p>
    <w:tbl>
      <w:tblPr>
        <w:tblStyle w:val="28"/>
        <w:tblW w:w="7934" w:type="dxa"/>
        <w:tblInd w:w="108" w:type="dxa"/>
        <w:tblLayout w:type="fixed"/>
        <w:tblCellMar>
          <w:top w:w="0" w:type="dxa"/>
          <w:left w:w="108" w:type="dxa"/>
          <w:bottom w:w="0" w:type="dxa"/>
          <w:right w:w="108" w:type="dxa"/>
        </w:tblCellMar>
      </w:tblPr>
      <w:tblGrid>
        <w:gridCol w:w="1481"/>
        <w:gridCol w:w="6453"/>
      </w:tblGrid>
      <w:tr w14:paraId="13012773">
        <w:tblPrEx>
          <w:tblCellMar>
            <w:top w:w="0" w:type="dxa"/>
            <w:left w:w="108" w:type="dxa"/>
            <w:bottom w:w="0" w:type="dxa"/>
            <w:right w:w="108" w:type="dxa"/>
          </w:tblCellMar>
        </w:tblPrEx>
        <w:tc>
          <w:tcPr>
            <w:tcW w:w="1481" w:type="dxa"/>
          </w:tcPr>
          <w:p w14:paraId="153CD591">
            <w:pPr>
              <w:pStyle w:val="55"/>
              <w:spacing w:before="31" w:after="31"/>
            </w:pPr>
            <w:bookmarkStart w:id="304" w:name="_Toc10207185"/>
            <w:r>
              <w:t>式中：</w:t>
            </w:r>
            <w:bookmarkEnd w:id="304"/>
          </w:p>
        </w:tc>
        <w:tc>
          <w:tcPr>
            <w:tcW w:w="6453" w:type="dxa"/>
            <w:tcMar>
              <w:left w:w="0" w:type="dxa"/>
            </w:tcMar>
            <w:vAlign w:val="center"/>
          </w:tcPr>
          <w:p w14:paraId="59D9C902">
            <w:pPr>
              <w:pStyle w:val="55"/>
              <w:spacing w:before="31" w:after="31"/>
            </w:pPr>
          </w:p>
        </w:tc>
      </w:tr>
      <w:tr w14:paraId="1E5A2248">
        <w:tblPrEx>
          <w:tblCellMar>
            <w:top w:w="0" w:type="dxa"/>
            <w:left w:w="108" w:type="dxa"/>
            <w:bottom w:w="0" w:type="dxa"/>
            <w:right w:w="108" w:type="dxa"/>
          </w:tblCellMar>
        </w:tblPrEx>
        <w:tc>
          <w:tcPr>
            <w:tcW w:w="1481" w:type="dxa"/>
          </w:tcPr>
          <w:p w14:paraId="2E531276">
            <w:pPr>
              <w:pStyle w:val="55"/>
              <w:spacing w:before="31" w:after="31"/>
            </w:pPr>
            <w:r>
              <w:rPr>
                <w:position w:val="-14"/>
              </w:rPr>
              <w:object>
                <v:shape id="_x0000_i1058" o:spt="75" type="#_x0000_t75" style="height:19.9pt;width:19.9pt;" o:ole="t" filled="f" o:preferrelative="t" stroked="f" coordsize="21600,21600">
                  <v:path/>
                  <v:fill on="f" focussize="0,0"/>
                  <v:stroke on="f" joinstyle="miter"/>
                  <v:imagedata r:id="rId83" o:title=""/>
                  <o:lock v:ext="edit" aspectratio="t"/>
                  <w10:wrap type="none"/>
                  <w10:anchorlock/>
                </v:shape>
                <o:OLEObject Type="Embed" ProgID="Equation.DSMT4" ShapeID="_x0000_i1058" DrawAspect="Content" ObjectID="_1468075758" r:id="rId82">
                  <o:LockedField>false</o:LockedField>
                </o:OLEObject>
              </w:object>
            </w:r>
            <w:r>
              <w:t>——</w:t>
            </w:r>
          </w:p>
        </w:tc>
        <w:tc>
          <w:tcPr>
            <w:tcW w:w="6453" w:type="dxa"/>
            <w:tcMar>
              <w:left w:w="0" w:type="dxa"/>
            </w:tcMar>
            <w:vAlign w:val="center"/>
          </w:tcPr>
          <w:p w14:paraId="43F80EBC">
            <w:pPr>
              <w:pStyle w:val="55"/>
              <w:spacing w:before="31" w:after="31"/>
              <w:jc w:val="left"/>
            </w:pPr>
            <w:r>
              <w:t>砌体受压区的截面面积；</w:t>
            </w:r>
          </w:p>
        </w:tc>
      </w:tr>
      <w:tr w14:paraId="3735D0EA">
        <w:tblPrEx>
          <w:tblCellMar>
            <w:top w:w="0" w:type="dxa"/>
            <w:left w:w="108" w:type="dxa"/>
            <w:bottom w:w="0" w:type="dxa"/>
            <w:right w:w="108" w:type="dxa"/>
          </w:tblCellMar>
        </w:tblPrEx>
        <w:tc>
          <w:tcPr>
            <w:tcW w:w="1481" w:type="dxa"/>
          </w:tcPr>
          <w:p w14:paraId="02E1F1C9">
            <w:pPr>
              <w:pStyle w:val="55"/>
              <w:spacing w:before="31" w:after="31"/>
            </w:pPr>
            <w:r>
              <w:rPr>
                <w:position w:val="-10"/>
              </w:rPr>
              <w:object>
                <v:shape id="_x0000_i1059" o:spt="75" type="#_x0000_t75" style="height:18.25pt;width:22.55pt;" o:ole="t" filled="f" o:preferrelative="t" stroked="f" coordsize="21600,21600">
                  <v:path/>
                  <v:fill on="f" focussize="0,0"/>
                  <v:stroke on="f" joinstyle="miter"/>
                  <v:imagedata r:id="rId85" o:title=""/>
                  <o:lock v:ext="edit" aspectratio="t"/>
                  <w10:wrap type="none"/>
                  <w10:anchorlock/>
                </v:shape>
                <o:OLEObject Type="Embed" ProgID="Equation.DSMT4" ShapeID="_x0000_i1059" DrawAspect="Content" ObjectID="_1468075759" r:id="rId84">
                  <o:LockedField>false</o:LockedField>
                </o:OLEObject>
              </w:object>
            </w:r>
            <w:r>
              <w:t>——</w:t>
            </w:r>
          </w:p>
        </w:tc>
        <w:tc>
          <w:tcPr>
            <w:tcW w:w="6453" w:type="dxa"/>
            <w:tcMar>
              <w:left w:w="0" w:type="dxa"/>
            </w:tcMar>
            <w:vAlign w:val="center"/>
          </w:tcPr>
          <w:p w14:paraId="31056664">
            <w:pPr>
              <w:pStyle w:val="55"/>
              <w:spacing w:before="31" w:after="31"/>
              <w:jc w:val="left"/>
            </w:pPr>
            <w:r>
              <w:t>抗压加固时高延性混凝土强度利用系数，取</w:t>
            </w:r>
            <w:r>
              <w:rPr>
                <w:position w:val="-10"/>
              </w:rPr>
              <w:object>
                <v:shape id="_x0000_i1060" o:spt="75" type="#_x0000_t75" style="height:18.25pt;width:30.65pt;" o:ole="t" filled="f" o:preferrelative="t" stroked="f" coordsize="21600,21600">
                  <v:path/>
                  <v:fill on="f" focussize="0,0"/>
                  <v:stroke on="f" joinstyle="miter"/>
                  <v:imagedata r:id="rId87" o:title=""/>
                  <o:lock v:ext="edit" aspectratio="t"/>
                  <w10:wrap type="none"/>
                  <w10:anchorlock/>
                </v:shape>
                <o:OLEObject Type="Embed" ProgID="Equation.DSMT4" ShapeID="_x0000_i1060" DrawAspect="Content" ObjectID="_1468075760" r:id="rId86">
                  <o:LockedField>false</o:LockedField>
                </o:OLEObject>
              </w:object>
            </w:r>
            <w:r>
              <w:t>0.15；</w:t>
            </w:r>
          </w:p>
        </w:tc>
      </w:tr>
      <w:tr w14:paraId="06C1C0C4">
        <w:tblPrEx>
          <w:tblCellMar>
            <w:top w:w="0" w:type="dxa"/>
            <w:left w:w="108" w:type="dxa"/>
            <w:bottom w:w="0" w:type="dxa"/>
            <w:right w:w="108" w:type="dxa"/>
          </w:tblCellMar>
        </w:tblPrEx>
        <w:tc>
          <w:tcPr>
            <w:tcW w:w="1481" w:type="dxa"/>
          </w:tcPr>
          <w:p w14:paraId="269C6F89">
            <w:pPr>
              <w:pStyle w:val="55"/>
              <w:spacing w:before="31" w:after="31"/>
            </w:pPr>
            <w:r>
              <w:rPr>
                <w:position w:val="-14"/>
              </w:rPr>
              <w:object>
                <v:shape id="_x0000_i1061" o:spt="75" type="#_x0000_t75" style="height:19.9pt;width:19.9pt;" o:ole="t" filled="f" o:preferrelative="t" stroked="f" coordsize="21600,21600">
                  <v:path/>
                  <v:fill on="f" focussize="0,0"/>
                  <v:stroke on="f" joinstyle="miter"/>
                  <v:imagedata r:id="rId89" o:title=""/>
                  <o:lock v:ext="edit" aspectratio="t"/>
                  <w10:wrap type="none"/>
                  <w10:anchorlock/>
                </v:shape>
                <o:OLEObject Type="Embed" ProgID="Equation.DSMT4" ShapeID="_x0000_i1061" DrawAspect="Content" ObjectID="_1468075761" r:id="rId88">
                  <o:LockedField>false</o:LockedField>
                </o:OLEObject>
              </w:object>
            </w:r>
            <w:r>
              <w:t>——</w:t>
            </w:r>
          </w:p>
        </w:tc>
        <w:tc>
          <w:tcPr>
            <w:tcW w:w="6453" w:type="dxa"/>
            <w:tcMar>
              <w:left w:w="0" w:type="dxa"/>
            </w:tcMar>
            <w:vAlign w:val="center"/>
          </w:tcPr>
          <w:p w14:paraId="5A6F9C08">
            <w:pPr>
              <w:pStyle w:val="55"/>
              <w:spacing w:before="31" w:after="31"/>
              <w:jc w:val="left"/>
            </w:pPr>
            <w:r>
              <w:t>高延性混凝土面层受压区的截面面积；</w:t>
            </w:r>
          </w:p>
        </w:tc>
      </w:tr>
      <w:tr w14:paraId="6A9D9506">
        <w:tblPrEx>
          <w:tblCellMar>
            <w:top w:w="0" w:type="dxa"/>
            <w:left w:w="108" w:type="dxa"/>
            <w:bottom w:w="0" w:type="dxa"/>
            <w:right w:w="108" w:type="dxa"/>
          </w:tblCellMar>
        </w:tblPrEx>
        <w:trPr>
          <w:trHeight w:val="90" w:hRule="atLeast"/>
        </w:trPr>
        <w:tc>
          <w:tcPr>
            <w:tcW w:w="1481" w:type="dxa"/>
          </w:tcPr>
          <w:p w14:paraId="520CDB38">
            <w:pPr>
              <w:pStyle w:val="55"/>
              <w:spacing w:before="31" w:after="31"/>
            </w:pPr>
            <w:r>
              <w:rPr>
                <w:position w:val="-10"/>
              </w:rPr>
              <w:object>
                <v:shape id="_x0000_i1062" o:spt="75" type="#_x0000_t75" style="height:18.25pt;width:23.65pt;" o:ole="t" filled="f" o:preferrelative="t" stroked="f" coordsize="21600,21600">
                  <v:path/>
                  <v:fill on="f" focussize="0,0"/>
                  <v:stroke on="f" joinstyle="miter"/>
                  <v:imagedata r:id="rId91" o:title=""/>
                  <o:lock v:ext="edit" aspectratio="t"/>
                  <w10:wrap type="none"/>
                  <w10:anchorlock/>
                </v:shape>
                <o:OLEObject Type="Embed" ProgID="Equation.DSMT4" ShapeID="_x0000_i1062" DrawAspect="Content" ObjectID="_1468075762" r:id="rId90">
                  <o:LockedField>false</o:LockedField>
                </o:OLEObject>
              </w:object>
            </w:r>
            <w:r>
              <w:t>——</w:t>
            </w:r>
          </w:p>
        </w:tc>
        <w:tc>
          <w:tcPr>
            <w:tcW w:w="6453" w:type="dxa"/>
            <w:tcMar>
              <w:left w:w="0" w:type="dxa"/>
            </w:tcMar>
            <w:vAlign w:val="center"/>
          </w:tcPr>
          <w:p w14:paraId="5242E024">
            <w:pPr>
              <w:pStyle w:val="55"/>
              <w:spacing w:before="31" w:after="31"/>
              <w:jc w:val="left"/>
            </w:pPr>
            <w:bookmarkStart w:id="305" w:name="_Toc25070370"/>
            <w:bookmarkStart w:id="306" w:name="_Toc25690901"/>
            <w:bookmarkStart w:id="307" w:name="_Toc25070672"/>
            <w:bookmarkStart w:id="308" w:name="_Toc19545524"/>
            <w:bookmarkStart w:id="309" w:name="_Toc10207188"/>
            <w:bookmarkStart w:id="310" w:name="_Toc19545254"/>
            <w:bookmarkStart w:id="311" w:name="_Toc25690630"/>
            <w:r>
              <w:t>偏心受压构件竖向钢筋强度利用系数，对砖砌体，取</w:t>
            </w:r>
            <w:r>
              <w:rPr>
                <w:position w:val="-10"/>
              </w:rPr>
              <w:object>
                <v:shape id="_x0000_i1063" o:spt="75" type="#_x0000_t75" style="height:19.9pt;width:63.4pt;" o:ole="t" filled="f" o:preferrelative="t" stroked="f" coordsize="21600,21600">
                  <v:path/>
                  <v:fill on="f" focussize="0,0"/>
                  <v:stroke on="f" joinstyle="miter"/>
                  <v:imagedata r:id="rId93" o:title=""/>
                  <o:lock v:ext="edit" aspectratio="t"/>
                  <w10:wrap type="none"/>
                  <w10:anchorlock/>
                </v:shape>
                <o:OLEObject Type="Embed" ProgID="Equation.DSMT4" ShapeID="_x0000_i1063" DrawAspect="Content" ObjectID="_1468075763" r:id="rId92">
                  <o:LockedField>false</o:LockedField>
                </o:OLEObject>
              </w:object>
            </w:r>
            <w:r>
              <w:t>；</w:t>
            </w:r>
            <w:bookmarkEnd w:id="305"/>
            <w:bookmarkEnd w:id="306"/>
            <w:bookmarkEnd w:id="307"/>
            <w:bookmarkEnd w:id="308"/>
            <w:bookmarkEnd w:id="309"/>
            <w:bookmarkEnd w:id="310"/>
            <w:bookmarkEnd w:id="311"/>
          </w:p>
        </w:tc>
      </w:tr>
      <w:tr w14:paraId="5BC0936C">
        <w:tblPrEx>
          <w:tblCellMar>
            <w:top w:w="0" w:type="dxa"/>
            <w:left w:w="108" w:type="dxa"/>
            <w:bottom w:w="0" w:type="dxa"/>
            <w:right w:w="108" w:type="dxa"/>
          </w:tblCellMar>
        </w:tblPrEx>
        <w:trPr>
          <w:trHeight w:val="90" w:hRule="atLeast"/>
        </w:trPr>
        <w:tc>
          <w:tcPr>
            <w:tcW w:w="1481" w:type="dxa"/>
          </w:tcPr>
          <w:p w14:paraId="3A6B001D">
            <w:pPr>
              <w:pStyle w:val="55"/>
              <w:spacing w:before="31" w:after="31"/>
            </w:pPr>
            <w:r>
              <w:rPr>
                <w:position w:val="-10"/>
              </w:rPr>
              <w:object>
                <v:shape id="_x0000_i1064" o:spt="75" type="#_x0000_t75" style="height:19.9pt;width:16.1pt;" o:ole="t" filled="f" o:preferrelative="t" stroked="f" coordsize="21600,21600">
                  <v:path/>
                  <v:fill on="f" focussize="0,0"/>
                  <v:stroke on="f" joinstyle="miter"/>
                  <v:imagedata r:id="rId95" o:title=""/>
                  <o:lock v:ext="edit" aspectratio="t"/>
                  <w10:wrap type="none"/>
                  <w10:anchorlock/>
                </v:shape>
                <o:OLEObject Type="Embed" ProgID="Equation.DSMT4" ShapeID="_x0000_i1064" DrawAspect="Content" ObjectID="_1468075764" r:id="rId94">
                  <o:LockedField>false</o:LockedField>
                </o:OLEObject>
              </w:object>
            </w:r>
            <w:r>
              <w:t>——</w:t>
            </w:r>
          </w:p>
        </w:tc>
        <w:tc>
          <w:tcPr>
            <w:tcW w:w="6453" w:type="dxa"/>
            <w:tcMar>
              <w:left w:w="0" w:type="dxa"/>
            </w:tcMar>
            <w:vAlign w:val="center"/>
          </w:tcPr>
          <w:p w14:paraId="35F038D2">
            <w:pPr>
              <w:pStyle w:val="55"/>
              <w:spacing w:before="31" w:after="31"/>
              <w:jc w:val="left"/>
            </w:pPr>
            <w:r>
              <w:rPr>
                <w:rFonts w:hint="eastAsia"/>
              </w:rPr>
              <w:t>钢筋应力，正值为拉应力，负值为压应力</w:t>
            </w:r>
            <w:r>
              <w:t>；</w:t>
            </w:r>
          </w:p>
        </w:tc>
      </w:tr>
      <w:tr w14:paraId="03BA68CF">
        <w:tblPrEx>
          <w:tblCellMar>
            <w:top w:w="0" w:type="dxa"/>
            <w:left w:w="108" w:type="dxa"/>
            <w:bottom w:w="0" w:type="dxa"/>
            <w:right w:w="108" w:type="dxa"/>
          </w:tblCellMar>
        </w:tblPrEx>
        <w:tc>
          <w:tcPr>
            <w:tcW w:w="1481" w:type="dxa"/>
          </w:tcPr>
          <w:p w14:paraId="05E48CDA">
            <w:pPr>
              <w:pStyle w:val="55"/>
              <w:spacing w:before="31" w:after="31"/>
            </w:pPr>
            <w:r>
              <w:rPr>
                <w:position w:val="-10"/>
              </w:rPr>
              <w:object>
                <v:shape id="_x0000_i1065" o:spt="75" type="#_x0000_t75" style="height:19.9pt;width:19.9pt;" o:ole="t" filled="f" o:preferrelative="t" stroked="f" coordsize="21600,21600">
                  <v:path/>
                  <v:fill on="f" focussize="0,0"/>
                  <v:stroke on="f" joinstyle="miter"/>
                  <v:imagedata r:id="rId97" o:title=""/>
                  <o:lock v:ext="edit" aspectratio="t"/>
                  <w10:wrap type="none"/>
                  <w10:anchorlock/>
                </v:shape>
                <o:OLEObject Type="Embed" ProgID="Equation.DSMT4" ShapeID="_x0000_i1065" DrawAspect="Content" ObjectID="_1468075765" r:id="rId96">
                  <o:LockedField>false</o:LockedField>
                </o:OLEObject>
              </w:object>
            </w:r>
            <w:r>
              <w:t>——</w:t>
            </w:r>
          </w:p>
        </w:tc>
        <w:tc>
          <w:tcPr>
            <w:tcW w:w="6453" w:type="dxa"/>
            <w:tcMar>
              <w:left w:w="0" w:type="dxa"/>
            </w:tcMar>
            <w:vAlign w:val="center"/>
          </w:tcPr>
          <w:p w14:paraId="2BFC28EA">
            <w:pPr>
              <w:pStyle w:val="55"/>
              <w:spacing w:before="31" w:after="31"/>
              <w:jc w:val="left"/>
            </w:pPr>
            <w:bookmarkStart w:id="312" w:name="_Toc19545255"/>
            <w:bookmarkStart w:id="313" w:name="_Toc25070673"/>
            <w:bookmarkStart w:id="314" w:name="_Toc25690631"/>
            <w:bookmarkStart w:id="315" w:name="_Toc19545525"/>
            <w:bookmarkStart w:id="316" w:name="_Toc25070371"/>
            <w:bookmarkStart w:id="317" w:name="_Toc25690902"/>
            <w:bookmarkStart w:id="318" w:name="_Toc10207189"/>
            <w:r>
              <w:t>离轴向力</w:t>
            </w:r>
            <w:r>
              <w:rPr>
                <w:i/>
              </w:rPr>
              <w:t>N</w:t>
            </w:r>
            <w:r>
              <w:t>作用点较远一侧钢筋的合力点至轴向力</w:t>
            </w:r>
            <w:r>
              <w:rPr>
                <w:i/>
              </w:rPr>
              <w:t>N</w:t>
            </w:r>
            <w:r>
              <w:t>作用点的距离；</w:t>
            </w:r>
            <w:bookmarkEnd w:id="312"/>
            <w:bookmarkEnd w:id="313"/>
            <w:bookmarkEnd w:id="314"/>
            <w:bookmarkEnd w:id="315"/>
            <w:bookmarkEnd w:id="316"/>
            <w:bookmarkEnd w:id="317"/>
            <w:bookmarkEnd w:id="318"/>
          </w:p>
        </w:tc>
      </w:tr>
      <w:tr w14:paraId="2D7406AB">
        <w:tblPrEx>
          <w:tblCellMar>
            <w:top w:w="0" w:type="dxa"/>
            <w:left w:w="108" w:type="dxa"/>
            <w:bottom w:w="0" w:type="dxa"/>
            <w:right w:w="108" w:type="dxa"/>
          </w:tblCellMar>
        </w:tblPrEx>
        <w:tc>
          <w:tcPr>
            <w:tcW w:w="1481" w:type="dxa"/>
          </w:tcPr>
          <w:p w14:paraId="215391D6">
            <w:pPr>
              <w:pStyle w:val="55"/>
              <w:spacing w:before="31" w:after="31"/>
            </w:pPr>
            <w:r>
              <w:rPr>
                <w:position w:val="-10"/>
              </w:rPr>
              <w:object>
                <v:shape id="_x0000_i1066" o:spt="75" type="#_x0000_t75" style="height:19.9pt;width:25.25pt;" o:ole="t" filled="f" o:preferrelative="t" stroked="f" coordsize="21600,21600">
                  <v:path/>
                  <v:fill on="f" focussize="0,0"/>
                  <v:stroke on="f" joinstyle="miter"/>
                  <v:imagedata r:id="rId99" o:title=""/>
                  <o:lock v:ext="edit" aspectratio="t"/>
                  <w10:wrap type="none"/>
                  <w10:anchorlock/>
                </v:shape>
                <o:OLEObject Type="Embed" ProgID="Equation.DSMT4" ShapeID="_x0000_i1066" DrawAspect="Content" ObjectID="_1468075766" r:id="rId98">
                  <o:LockedField>false</o:LockedField>
                </o:OLEObject>
              </w:object>
            </w:r>
            <w:r>
              <w:t>——</w:t>
            </w:r>
          </w:p>
        </w:tc>
        <w:tc>
          <w:tcPr>
            <w:tcW w:w="6453" w:type="dxa"/>
            <w:tcMar>
              <w:left w:w="0" w:type="dxa"/>
            </w:tcMar>
            <w:vAlign w:val="center"/>
          </w:tcPr>
          <w:p w14:paraId="1E0E80E8">
            <w:pPr>
              <w:pStyle w:val="55"/>
              <w:spacing w:before="31" w:after="31"/>
              <w:jc w:val="left"/>
            </w:pPr>
            <w:r>
              <w:t>砌体受压区的截面面积对钢筋</w:t>
            </w:r>
            <w:r>
              <w:rPr>
                <w:position w:val="-10"/>
              </w:rPr>
              <w:object>
                <v:shape id="_x0000_i1067" o:spt="75" type="#_x0000_t75" style="height:15.05pt;width:15.05pt;" o:ole="t" filled="f" o:preferrelative="t" stroked="f" coordsize="21600,21600">
                  <v:path/>
                  <v:fill on="f" focussize="0,0"/>
                  <v:stroke on="f" joinstyle="miter"/>
                  <v:imagedata r:id="rId101" o:title=""/>
                  <o:lock v:ext="edit" aspectratio="t"/>
                  <w10:wrap type="none"/>
                  <w10:anchorlock/>
                </v:shape>
                <o:OLEObject Type="Embed" ProgID="Equation.DSMT4" ShapeID="_x0000_i1067" DrawAspect="Content" ObjectID="_1468075767" r:id="rId100">
                  <o:LockedField>false</o:LockedField>
                </o:OLEObject>
              </w:object>
            </w:r>
            <w:r>
              <w:t>重心的面积矩；</w:t>
            </w:r>
          </w:p>
        </w:tc>
      </w:tr>
      <w:tr w14:paraId="3038FABE">
        <w:tblPrEx>
          <w:tblCellMar>
            <w:top w:w="0" w:type="dxa"/>
            <w:left w:w="108" w:type="dxa"/>
            <w:bottom w:w="0" w:type="dxa"/>
            <w:right w:w="108" w:type="dxa"/>
          </w:tblCellMar>
        </w:tblPrEx>
        <w:tc>
          <w:tcPr>
            <w:tcW w:w="1481" w:type="dxa"/>
          </w:tcPr>
          <w:p w14:paraId="5730A569">
            <w:pPr>
              <w:pStyle w:val="55"/>
              <w:spacing w:before="31" w:after="31"/>
            </w:pPr>
            <w:r>
              <w:rPr>
                <w:position w:val="-10"/>
              </w:rPr>
              <w:object>
                <v:shape id="_x0000_i1068" o:spt="75" type="#_x0000_t75" style="height:19.9pt;width:25.25pt;" o:ole="t" filled="f" o:preferrelative="t" stroked="f" coordsize="21600,21600">
                  <v:path/>
                  <v:fill on="f" focussize="0,0"/>
                  <v:stroke on="f" joinstyle="miter"/>
                  <v:imagedata r:id="rId103" o:title=""/>
                  <o:lock v:ext="edit" aspectratio="t"/>
                  <w10:wrap type="none"/>
                  <w10:anchorlock/>
                </v:shape>
                <o:OLEObject Type="Embed" ProgID="Equation.DSMT4" ShapeID="_x0000_i1068" DrawAspect="Content" ObjectID="_1468075768" r:id="rId102">
                  <o:LockedField>false</o:LockedField>
                </o:OLEObject>
              </w:object>
            </w:r>
            <w:r>
              <w:t>——</w:t>
            </w:r>
          </w:p>
        </w:tc>
        <w:tc>
          <w:tcPr>
            <w:tcW w:w="6453" w:type="dxa"/>
            <w:tcMar>
              <w:left w:w="0" w:type="dxa"/>
            </w:tcMar>
            <w:vAlign w:val="center"/>
          </w:tcPr>
          <w:p w14:paraId="00469E71">
            <w:pPr>
              <w:pStyle w:val="55"/>
              <w:spacing w:before="31" w:after="31"/>
              <w:jc w:val="left"/>
            </w:pPr>
            <w:r>
              <w:t>高延性混凝土面层受压区的截面面积对钢筋</w:t>
            </w:r>
            <w:r>
              <w:rPr>
                <w:position w:val="-10"/>
              </w:rPr>
              <w:object>
                <v:shape id="_x0000_i1069" o:spt="75" type="#_x0000_t75" style="height:15.05pt;width:15.05pt;" o:ole="t" filled="f" o:preferrelative="t" stroked="f" coordsize="21600,21600">
                  <v:path/>
                  <v:fill on="f" focussize="0,0"/>
                  <v:stroke on="f" joinstyle="miter"/>
                  <v:imagedata r:id="rId101" o:title=""/>
                  <o:lock v:ext="edit" aspectratio="t"/>
                  <w10:wrap type="none"/>
                  <w10:anchorlock/>
                </v:shape>
                <o:OLEObject Type="Embed" ProgID="Equation.DSMT4" ShapeID="_x0000_i1069" DrawAspect="Content" ObjectID="_1468075769" r:id="rId104">
                  <o:LockedField>false</o:LockedField>
                </o:OLEObject>
              </w:object>
            </w:r>
            <w:r>
              <w:t>重心的面积矩；</w:t>
            </w:r>
          </w:p>
        </w:tc>
      </w:tr>
      <w:tr w14:paraId="54872019">
        <w:tblPrEx>
          <w:tblCellMar>
            <w:top w:w="0" w:type="dxa"/>
            <w:left w:w="108" w:type="dxa"/>
            <w:bottom w:w="0" w:type="dxa"/>
            <w:right w:w="108" w:type="dxa"/>
          </w:tblCellMar>
        </w:tblPrEx>
        <w:tc>
          <w:tcPr>
            <w:tcW w:w="1481" w:type="dxa"/>
          </w:tcPr>
          <w:p w14:paraId="14F80C84">
            <w:pPr>
              <w:pStyle w:val="55"/>
              <w:spacing w:before="31" w:after="31"/>
            </w:pPr>
            <w:r>
              <w:rPr>
                <w:position w:val="-10"/>
              </w:rPr>
              <w:object>
                <v:shape id="_x0000_i1070" o:spt="75" type="#_x0000_t75" style="height:19.9pt;width:19.9pt;" o:ole="t" filled="f" o:preferrelative="t" stroked="f" coordsize="21600,21600">
                  <v:path/>
                  <v:fill on="f" focussize="0,0"/>
                  <v:stroke on="f" joinstyle="miter"/>
                  <v:imagedata r:id="rId106" o:title=""/>
                  <o:lock v:ext="edit" aspectratio="t"/>
                  <w10:wrap type="none"/>
                  <w10:anchorlock/>
                </v:shape>
                <o:OLEObject Type="Embed" ProgID="Equation.DSMT4" ShapeID="_x0000_i1070" DrawAspect="Content" ObjectID="_1468075770" r:id="rId105">
                  <o:LockedField>false</o:LockedField>
                </o:OLEObject>
              </w:object>
            </w:r>
            <w:r>
              <w:t>——</w:t>
            </w:r>
          </w:p>
        </w:tc>
        <w:tc>
          <w:tcPr>
            <w:tcW w:w="6453" w:type="dxa"/>
            <w:tcMar>
              <w:left w:w="0" w:type="dxa"/>
            </w:tcMar>
            <w:vAlign w:val="center"/>
          </w:tcPr>
          <w:p w14:paraId="0B04DC61">
            <w:pPr>
              <w:pStyle w:val="55"/>
              <w:spacing w:before="31" w:after="31"/>
              <w:jc w:val="left"/>
            </w:pPr>
            <w:bookmarkStart w:id="319" w:name="_Toc19545527"/>
            <w:bookmarkStart w:id="320" w:name="_Toc10207191"/>
            <w:bookmarkStart w:id="321" w:name="_Toc19545257"/>
            <w:bookmarkStart w:id="322" w:name="_Toc25690904"/>
            <w:bookmarkStart w:id="323" w:name="_Toc25070373"/>
            <w:bookmarkStart w:id="324" w:name="_Toc25690633"/>
            <w:bookmarkStart w:id="325" w:name="_Toc25070675"/>
            <w:r>
              <w:t>离轴向力</w:t>
            </w:r>
            <w:r>
              <w:rPr>
                <w:i/>
              </w:rPr>
              <w:t>N</w:t>
            </w:r>
            <w:r>
              <w:t>作用点较近一侧钢筋的重心至轴向力</w:t>
            </w:r>
            <w:r>
              <w:rPr>
                <w:i/>
              </w:rPr>
              <w:t>N</w:t>
            </w:r>
            <w:r>
              <w:t>作用点的距离；</w:t>
            </w:r>
            <w:bookmarkEnd w:id="319"/>
            <w:bookmarkEnd w:id="320"/>
            <w:bookmarkEnd w:id="321"/>
            <w:bookmarkEnd w:id="322"/>
            <w:bookmarkEnd w:id="323"/>
            <w:bookmarkEnd w:id="324"/>
            <w:bookmarkEnd w:id="325"/>
          </w:p>
        </w:tc>
      </w:tr>
      <w:tr w14:paraId="3C2CF7DB">
        <w:tblPrEx>
          <w:tblCellMar>
            <w:top w:w="0" w:type="dxa"/>
            <w:left w:w="108" w:type="dxa"/>
            <w:bottom w:w="0" w:type="dxa"/>
            <w:right w:w="108" w:type="dxa"/>
          </w:tblCellMar>
        </w:tblPrEx>
        <w:tc>
          <w:tcPr>
            <w:tcW w:w="1481" w:type="dxa"/>
          </w:tcPr>
          <w:p w14:paraId="5EE73506">
            <w:pPr>
              <w:pStyle w:val="55"/>
              <w:spacing w:before="31" w:after="31"/>
            </w:pPr>
            <w:r>
              <w:rPr>
                <w:position w:val="-6"/>
              </w:rPr>
              <w:object>
                <v:shape id="_x0000_i1071" o:spt="75" type="#_x0000_t75" style="height:13.45pt;width:13.45pt;" o:ole="t" filled="f" o:preferrelative="t" stroked="f" coordsize="21600,21600">
                  <v:path/>
                  <v:fill on="f" focussize="0,0"/>
                  <v:stroke on="f" joinstyle="miter"/>
                  <v:imagedata r:id="rId108" o:title=""/>
                  <o:lock v:ext="edit" aspectratio="t"/>
                  <w10:wrap type="none"/>
                  <w10:anchorlock/>
                </v:shape>
                <o:OLEObject Type="Embed" ProgID="Equation.DSMT4" ShapeID="_x0000_i1071" DrawAspect="Content" ObjectID="_1468075771" r:id="rId107">
                  <o:LockedField>false</o:LockedField>
                </o:OLEObject>
              </w:object>
            </w:r>
            <w:r>
              <w:t>——</w:t>
            </w:r>
          </w:p>
        </w:tc>
        <w:tc>
          <w:tcPr>
            <w:tcW w:w="6453" w:type="dxa"/>
            <w:tcMar>
              <w:left w:w="0" w:type="dxa"/>
            </w:tcMar>
            <w:vAlign w:val="center"/>
          </w:tcPr>
          <w:p w14:paraId="66EA0E21">
            <w:pPr>
              <w:pStyle w:val="55"/>
              <w:spacing w:before="31" w:after="31"/>
              <w:jc w:val="left"/>
            </w:pPr>
            <w:bookmarkStart w:id="326" w:name="_Toc19545528"/>
            <w:bookmarkStart w:id="327" w:name="_Toc25070676"/>
            <w:bookmarkStart w:id="328" w:name="_Toc25070374"/>
            <w:bookmarkStart w:id="329" w:name="_Toc25690905"/>
            <w:bookmarkStart w:id="330" w:name="_Toc25690634"/>
            <w:bookmarkStart w:id="331" w:name="_Toc10207192"/>
            <w:bookmarkStart w:id="332" w:name="_Toc19545258"/>
            <w:r>
              <w:t>轴向力对加固后截面的初始偏心距，按荷载设计值计算，当</w:t>
            </w:r>
            <w:r>
              <w:rPr>
                <w:position w:val="-6"/>
              </w:rPr>
              <w:object>
                <v:shape id="_x0000_i1072" o:spt="75" type="#_x0000_t75" style="height:17.75pt;width:58.55pt;" o:ole="t" filled="f" o:preferrelative="t" stroked="f" coordsize="21600,21600">
                  <v:path/>
                  <v:fill on="f" focussize="0,0"/>
                  <v:stroke on="f" joinstyle="miter"/>
                  <v:imagedata r:id="rId110" o:title=""/>
                  <o:lock v:ext="edit" aspectratio="t"/>
                  <w10:wrap type="none"/>
                  <w10:anchorlock/>
                </v:shape>
                <o:OLEObject Type="Embed" ProgID="Equation.DSMT4" ShapeID="_x0000_i1072" DrawAspect="Content" ObjectID="_1468075772" r:id="rId109">
                  <o:LockedField>false</o:LockedField>
                </o:OLEObject>
              </w:object>
            </w:r>
            <w:r>
              <w:t>时，取</w:t>
            </w:r>
            <w:r>
              <w:rPr>
                <w:position w:val="-10"/>
              </w:rPr>
              <w:object>
                <v:shape id="_x0000_i1073" o:spt="75" type="#_x0000_t75" style="height:19.9pt;width:61.25pt;" o:ole="t" filled="f" o:preferrelative="t" stroked="f" coordsize="21600,21600">
                  <v:path/>
                  <v:fill on="f" focussize="0,0"/>
                  <v:stroke on="f" joinstyle="miter"/>
                  <v:imagedata r:id="rId112" o:title=""/>
                  <o:lock v:ext="edit" aspectratio="t"/>
                  <w10:wrap type="none"/>
                  <w10:anchorlock/>
                </v:shape>
                <o:OLEObject Type="Embed" ProgID="Equation.DSMT4" ShapeID="_x0000_i1073" DrawAspect="Content" ObjectID="_1468075773" r:id="rId111">
                  <o:LockedField>false</o:LockedField>
                </o:OLEObject>
              </w:object>
            </w:r>
            <w:r>
              <w:t>；</w:t>
            </w:r>
            <w:bookmarkEnd w:id="326"/>
            <w:bookmarkEnd w:id="327"/>
            <w:bookmarkEnd w:id="328"/>
            <w:bookmarkEnd w:id="329"/>
            <w:bookmarkEnd w:id="330"/>
            <w:bookmarkEnd w:id="331"/>
            <w:bookmarkEnd w:id="332"/>
          </w:p>
        </w:tc>
      </w:tr>
      <w:tr w14:paraId="6EDB605A">
        <w:tblPrEx>
          <w:tblCellMar>
            <w:top w:w="0" w:type="dxa"/>
            <w:left w:w="108" w:type="dxa"/>
            <w:bottom w:w="0" w:type="dxa"/>
            <w:right w:w="108" w:type="dxa"/>
          </w:tblCellMar>
        </w:tblPrEx>
        <w:tc>
          <w:tcPr>
            <w:tcW w:w="1481" w:type="dxa"/>
          </w:tcPr>
          <w:p w14:paraId="242D6DAB">
            <w:pPr>
              <w:pStyle w:val="55"/>
              <w:spacing w:before="31" w:after="31"/>
            </w:pPr>
            <w:r>
              <w:rPr>
                <w:position w:val="-10"/>
              </w:rPr>
              <w:object>
                <v:shape id="_x0000_i1074" o:spt="75" type="#_x0000_t75" style="height:19.9pt;width:16.1pt;" o:ole="t" filled="f" o:preferrelative="t" stroked="f" coordsize="21600,21600">
                  <v:path/>
                  <v:fill on="f" focussize="0,0"/>
                  <v:stroke on="f" joinstyle="miter"/>
                  <v:imagedata r:id="rId114" o:title=""/>
                  <o:lock v:ext="edit" aspectratio="t"/>
                  <w10:wrap type="none"/>
                  <w10:anchorlock/>
                </v:shape>
                <o:OLEObject Type="Embed" ProgID="Equation.DSMT4" ShapeID="_x0000_i1074" DrawAspect="Content" ObjectID="_1468075774" r:id="rId113">
                  <o:LockedField>false</o:LockedField>
                </o:OLEObject>
              </w:object>
            </w:r>
            <w:r>
              <w:t>——</w:t>
            </w:r>
          </w:p>
        </w:tc>
        <w:tc>
          <w:tcPr>
            <w:tcW w:w="6453" w:type="dxa"/>
            <w:tcMar>
              <w:left w:w="0" w:type="dxa"/>
            </w:tcMar>
            <w:vAlign w:val="center"/>
          </w:tcPr>
          <w:p w14:paraId="7DD4FC2E">
            <w:pPr>
              <w:pStyle w:val="55"/>
              <w:spacing w:before="31" w:after="31"/>
              <w:jc w:val="left"/>
            </w:pPr>
            <w:bookmarkStart w:id="333" w:name="_Toc19545529"/>
            <w:bookmarkStart w:id="334" w:name="_Toc25070677"/>
            <w:bookmarkStart w:id="335" w:name="_Toc10207193"/>
            <w:bookmarkStart w:id="336" w:name="_Toc25690906"/>
            <w:bookmarkStart w:id="337" w:name="_Toc19545259"/>
            <w:bookmarkStart w:id="338" w:name="_Toc25690635"/>
            <w:bookmarkStart w:id="339" w:name="_Toc25070375"/>
            <w:r>
              <w:t>加固后的构件在轴向力作用下的附加偏心距；</w:t>
            </w:r>
            <w:bookmarkEnd w:id="333"/>
            <w:bookmarkEnd w:id="334"/>
            <w:bookmarkEnd w:id="335"/>
            <w:bookmarkEnd w:id="336"/>
            <w:bookmarkEnd w:id="337"/>
            <w:bookmarkEnd w:id="338"/>
            <w:bookmarkEnd w:id="339"/>
          </w:p>
        </w:tc>
      </w:tr>
      <w:tr w14:paraId="7D39B715">
        <w:tblPrEx>
          <w:tblCellMar>
            <w:top w:w="0" w:type="dxa"/>
            <w:left w:w="108" w:type="dxa"/>
            <w:bottom w:w="0" w:type="dxa"/>
            <w:right w:w="108" w:type="dxa"/>
          </w:tblCellMar>
        </w:tblPrEx>
        <w:tc>
          <w:tcPr>
            <w:tcW w:w="1481" w:type="dxa"/>
          </w:tcPr>
          <w:p w14:paraId="710C4F68">
            <w:pPr>
              <w:pStyle w:val="55"/>
              <w:spacing w:before="31" w:after="31"/>
            </w:pPr>
            <w:r>
              <w:rPr>
                <w:position w:val="-10"/>
              </w:rPr>
              <w:object>
                <v:shape id="_x0000_i1075" o:spt="75" type="#_x0000_t75" style="height:19.9pt;width:19.9pt;" o:ole="t" filled="f" o:preferrelative="t" stroked="f" coordsize="21600,21600">
                  <v:path/>
                  <v:fill on="f" focussize="0,0"/>
                  <v:stroke on="f" joinstyle="miter"/>
                  <v:imagedata r:id="rId116" o:title=""/>
                  <o:lock v:ext="edit" aspectratio="t"/>
                  <w10:wrap type="none"/>
                  <w10:anchorlock/>
                </v:shape>
                <o:OLEObject Type="Embed" ProgID="Equation.DSMT4" ShapeID="_x0000_i1075" DrawAspect="Content" ObjectID="_1468075775" r:id="rId115">
                  <o:LockedField>false</o:LockedField>
                </o:OLEObject>
              </w:object>
            </w:r>
            <w:r>
              <w:t>——</w:t>
            </w:r>
          </w:p>
        </w:tc>
        <w:tc>
          <w:tcPr>
            <w:tcW w:w="6453" w:type="dxa"/>
            <w:tcMar>
              <w:left w:w="0" w:type="dxa"/>
            </w:tcMar>
            <w:vAlign w:val="center"/>
          </w:tcPr>
          <w:p w14:paraId="004F4C96">
            <w:pPr>
              <w:pStyle w:val="55"/>
              <w:spacing w:before="31" w:after="31"/>
              <w:jc w:val="left"/>
            </w:pPr>
            <w:bookmarkStart w:id="340" w:name="_Toc19545260"/>
            <w:bookmarkStart w:id="341" w:name="_Toc25070376"/>
            <w:bookmarkStart w:id="342" w:name="_Toc10207194"/>
            <w:bookmarkStart w:id="343" w:name="_Toc19545530"/>
            <w:bookmarkStart w:id="344" w:name="_Toc25690636"/>
            <w:bookmarkStart w:id="345" w:name="_Toc25070678"/>
            <w:bookmarkStart w:id="346" w:name="_Toc25690907"/>
            <w:r>
              <w:t>加固后的构件高厚比；</w:t>
            </w:r>
            <w:bookmarkEnd w:id="340"/>
            <w:bookmarkEnd w:id="341"/>
            <w:bookmarkEnd w:id="342"/>
            <w:bookmarkEnd w:id="343"/>
            <w:bookmarkEnd w:id="344"/>
            <w:bookmarkEnd w:id="345"/>
            <w:bookmarkEnd w:id="346"/>
          </w:p>
        </w:tc>
      </w:tr>
      <w:tr w14:paraId="4888E184">
        <w:tblPrEx>
          <w:tblCellMar>
            <w:top w:w="0" w:type="dxa"/>
            <w:left w:w="108" w:type="dxa"/>
            <w:bottom w:w="0" w:type="dxa"/>
            <w:right w:w="108" w:type="dxa"/>
          </w:tblCellMar>
        </w:tblPrEx>
        <w:tc>
          <w:tcPr>
            <w:tcW w:w="1481" w:type="dxa"/>
          </w:tcPr>
          <w:p w14:paraId="2A31A15C">
            <w:pPr>
              <w:pStyle w:val="55"/>
              <w:spacing w:before="31" w:after="31"/>
            </w:pPr>
            <w:r>
              <w:rPr>
                <w:position w:val="-6"/>
              </w:rPr>
              <w:object>
                <v:shape id="_x0000_i1076" o:spt="75" type="#_x0000_t75" style="height:19.9pt;width:16.1pt;" o:ole="t" filled="f" o:preferrelative="t" stroked="f" coordsize="21600,21600">
                  <v:path/>
                  <v:fill on="f" focussize="0,0"/>
                  <v:stroke on="f" joinstyle="miter"/>
                  <v:imagedata r:id="rId118" o:title=""/>
                  <o:lock v:ext="edit" aspectratio="t"/>
                  <w10:wrap type="none"/>
                  <w10:anchorlock/>
                </v:shape>
                <o:OLEObject Type="Embed" ProgID="Equation.DSMT4" ShapeID="_x0000_i1076" DrawAspect="Content" ObjectID="_1468075776" r:id="rId117">
                  <o:LockedField>false</o:LockedField>
                </o:OLEObject>
              </w:object>
            </w:r>
            <w:r>
              <w:t>——</w:t>
            </w:r>
          </w:p>
        </w:tc>
        <w:tc>
          <w:tcPr>
            <w:tcW w:w="6453" w:type="dxa"/>
            <w:tcMar>
              <w:left w:w="0" w:type="dxa"/>
            </w:tcMar>
            <w:vAlign w:val="center"/>
          </w:tcPr>
          <w:p w14:paraId="4D080A88">
            <w:pPr>
              <w:pStyle w:val="55"/>
              <w:spacing w:before="31" w:after="31"/>
              <w:jc w:val="left"/>
            </w:pPr>
            <w:bookmarkStart w:id="347" w:name="_Toc19545261"/>
            <w:bookmarkStart w:id="348" w:name="_Toc25690908"/>
            <w:bookmarkStart w:id="349" w:name="_Toc25070679"/>
            <w:bookmarkStart w:id="350" w:name="_Toc25690637"/>
            <w:bookmarkStart w:id="351" w:name="_Toc19545531"/>
            <w:bookmarkStart w:id="352" w:name="_Toc10207195"/>
            <w:bookmarkStart w:id="353" w:name="_Toc25070377"/>
            <w:r>
              <w:t>加固后的截面高度；</w:t>
            </w:r>
            <w:bookmarkEnd w:id="347"/>
            <w:bookmarkEnd w:id="348"/>
            <w:bookmarkEnd w:id="349"/>
            <w:bookmarkEnd w:id="350"/>
            <w:bookmarkEnd w:id="351"/>
            <w:bookmarkEnd w:id="352"/>
            <w:bookmarkEnd w:id="353"/>
          </w:p>
        </w:tc>
      </w:tr>
      <w:tr w14:paraId="389DA164">
        <w:tblPrEx>
          <w:tblCellMar>
            <w:top w:w="0" w:type="dxa"/>
            <w:left w:w="108" w:type="dxa"/>
            <w:bottom w:w="0" w:type="dxa"/>
            <w:right w:w="108" w:type="dxa"/>
          </w:tblCellMar>
        </w:tblPrEx>
        <w:trPr>
          <w:trHeight w:val="90" w:hRule="atLeast"/>
        </w:trPr>
        <w:tc>
          <w:tcPr>
            <w:tcW w:w="1481" w:type="dxa"/>
          </w:tcPr>
          <w:p w14:paraId="46406430">
            <w:pPr>
              <w:pStyle w:val="55"/>
              <w:spacing w:before="31" w:after="31"/>
            </w:pPr>
            <w:r>
              <w:rPr>
                <w:position w:val="-10"/>
              </w:rPr>
              <w:object>
                <v:shape id="_x0000_i1077" o:spt="75" type="#_x0000_t75" style="height:19.9pt;width:19.9pt;" o:ole="t" filled="f" o:preferrelative="t" stroked="f" coordsize="21600,21600">
                  <v:path/>
                  <v:fill on="f" focussize="0,0"/>
                  <v:stroke on="f" joinstyle="miter"/>
                  <v:imagedata r:id="rId120" o:title=""/>
                  <o:lock v:ext="edit" aspectratio="t"/>
                  <w10:wrap type="none"/>
                  <w10:anchorlock/>
                </v:shape>
                <o:OLEObject Type="Embed" ProgID="Equation.DSMT4" ShapeID="_x0000_i1077" DrawAspect="Content" ObjectID="_1468075777" r:id="rId119">
                  <o:LockedField>false</o:LockedField>
                </o:OLEObject>
              </w:object>
            </w:r>
            <w:r>
              <w:t>——</w:t>
            </w:r>
          </w:p>
        </w:tc>
        <w:tc>
          <w:tcPr>
            <w:tcW w:w="6453" w:type="dxa"/>
            <w:tcMar>
              <w:left w:w="0" w:type="dxa"/>
            </w:tcMar>
            <w:vAlign w:val="center"/>
          </w:tcPr>
          <w:p w14:paraId="2F505A1C">
            <w:pPr>
              <w:pStyle w:val="55"/>
              <w:spacing w:before="31" w:after="31"/>
              <w:jc w:val="left"/>
            </w:pPr>
            <w:bookmarkStart w:id="354" w:name="_Toc25690909"/>
            <w:bookmarkStart w:id="355" w:name="_Toc25070378"/>
            <w:bookmarkStart w:id="356" w:name="_Toc19545262"/>
            <w:bookmarkStart w:id="357" w:name="_Toc19545532"/>
            <w:bookmarkStart w:id="358" w:name="_Toc10207196"/>
            <w:bookmarkStart w:id="359" w:name="_Toc25070680"/>
            <w:bookmarkStart w:id="360" w:name="_Toc25690638"/>
            <w:r>
              <w:t>加固后的截面有效高度；</w:t>
            </w:r>
            <w:bookmarkEnd w:id="354"/>
            <w:bookmarkEnd w:id="355"/>
            <w:bookmarkEnd w:id="356"/>
            <w:bookmarkEnd w:id="357"/>
            <w:bookmarkEnd w:id="358"/>
            <w:bookmarkEnd w:id="359"/>
            <w:bookmarkEnd w:id="360"/>
          </w:p>
        </w:tc>
      </w:tr>
      <w:tr w14:paraId="024D9C35">
        <w:tblPrEx>
          <w:tblCellMar>
            <w:top w:w="0" w:type="dxa"/>
            <w:left w:w="108" w:type="dxa"/>
            <w:bottom w:w="0" w:type="dxa"/>
            <w:right w:w="108" w:type="dxa"/>
          </w:tblCellMar>
        </w:tblPrEx>
        <w:tc>
          <w:tcPr>
            <w:tcW w:w="1481" w:type="dxa"/>
          </w:tcPr>
          <w:p w14:paraId="12453C2B">
            <w:pPr>
              <w:pStyle w:val="55"/>
              <w:spacing w:before="31" w:after="31"/>
            </w:pPr>
            <w:r>
              <w:rPr>
                <w:position w:val="-6"/>
              </w:rPr>
              <w:object>
                <v:shape id="_x0000_i1078" o:spt="75" type="#_x0000_t75" style="height:16.65pt;width:34.4pt;" o:ole="t" filled="f" o:preferrelative="t" stroked="f" coordsize="21600,21600">
                  <v:path/>
                  <v:fill on="f" focussize="0,0"/>
                  <v:stroke on="f" joinstyle="miter"/>
                  <v:imagedata r:id="rId122" o:title=""/>
                  <o:lock v:ext="edit" aspectratio="t"/>
                  <w10:wrap type="none"/>
                  <w10:anchorlock/>
                </v:shape>
                <o:OLEObject Type="Embed" ProgID="Equation.DSMT4" ShapeID="_x0000_i1078" DrawAspect="Content" ObjectID="_1468075778" r:id="rId121">
                  <o:LockedField>false</o:LockedField>
                </o:OLEObject>
              </w:object>
            </w:r>
            <w:r>
              <w:t>——</w:t>
            </w:r>
          </w:p>
        </w:tc>
        <w:tc>
          <w:tcPr>
            <w:tcW w:w="6453" w:type="dxa"/>
            <w:tcMar>
              <w:left w:w="0" w:type="dxa"/>
            </w:tcMar>
            <w:vAlign w:val="center"/>
          </w:tcPr>
          <w:p w14:paraId="0521F200">
            <w:pPr>
              <w:pStyle w:val="55"/>
              <w:spacing w:before="31" w:after="31"/>
              <w:jc w:val="left"/>
            </w:pPr>
            <w:bookmarkStart w:id="361" w:name="_Toc19545533"/>
            <w:bookmarkStart w:id="362" w:name="_Toc19545263"/>
            <w:bookmarkStart w:id="363" w:name="_Toc25690910"/>
            <w:bookmarkStart w:id="364" w:name="_Toc25070681"/>
            <w:bookmarkStart w:id="365" w:name="_Toc25070379"/>
            <w:bookmarkStart w:id="366" w:name="_Toc10207197"/>
            <w:bookmarkStart w:id="367" w:name="_Toc25690639"/>
            <w:r>
              <w:t>分别为离轴向力</w:t>
            </w:r>
            <w:r>
              <w:rPr>
                <w:i/>
              </w:rPr>
              <w:t>N</w:t>
            </w:r>
            <w:r>
              <w:t>作用点较远和较近一侧钢筋的合力点至截面外侧边沿的距离；</w:t>
            </w:r>
            <w:bookmarkEnd w:id="361"/>
            <w:bookmarkEnd w:id="362"/>
            <w:bookmarkEnd w:id="363"/>
            <w:bookmarkEnd w:id="364"/>
            <w:bookmarkEnd w:id="365"/>
            <w:bookmarkEnd w:id="366"/>
            <w:bookmarkEnd w:id="367"/>
          </w:p>
        </w:tc>
      </w:tr>
      <w:tr w14:paraId="5035629D">
        <w:tblPrEx>
          <w:tblCellMar>
            <w:top w:w="0" w:type="dxa"/>
            <w:left w:w="108" w:type="dxa"/>
            <w:bottom w:w="0" w:type="dxa"/>
            <w:right w:w="108" w:type="dxa"/>
          </w:tblCellMar>
        </w:tblPrEx>
        <w:trPr>
          <w:trHeight w:val="95" w:hRule="atLeast"/>
        </w:trPr>
        <w:tc>
          <w:tcPr>
            <w:tcW w:w="1481" w:type="dxa"/>
          </w:tcPr>
          <w:p w14:paraId="766E4530">
            <w:pPr>
              <w:pStyle w:val="55"/>
              <w:spacing w:before="31" w:after="31"/>
            </w:pPr>
            <w:r>
              <w:rPr>
                <w:position w:val="-10"/>
              </w:rPr>
              <w:object>
                <v:shape id="_x0000_i1079" o:spt="75" type="#_x0000_t75" style="height:19.9pt;width:19.9pt;" o:ole="t" filled="f" o:preferrelative="t" stroked="f" coordsize="21600,21600">
                  <v:path/>
                  <v:fill on="f" focussize="0,0"/>
                  <v:stroke on="f" joinstyle="miter"/>
                  <v:imagedata r:id="rId101" o:title=""/>
                  <o:lock v:ext="edit" aspectratio="t"/>
                  <w10:wrap type="none"/>
                  <w10:anchorlock/>
                </v:shape>
                <o:OLEObject Type="Embed" ProgID="Equation.DSMT4" ShapeID="_x0000_i1079" DrawAspect="Content" ObjectID="_1468075779" r:id="rId123">
                  <o:LockedField>false</o:LockedField>
                </o:OLEObject>
              </w:object>
            </w:r>
            <w:r>
              <w:t>——</w:t>
            </w:r>
          </w:p>
        </w:tc>
        <w:tc>
          <w:tcPr>
            <w:tcW w:w="6453" w:type="dxa"/>
            <w:tcMar>
              <w:left w:w="0" w:type="dxa"/>
            </w:tcMar>
            <w:vAlign w:val="center"/>
          </w:tcPr>
          <w:p w14:paraId="7F613B85">
            <w:pPr>
              <w:pStyle w:val="55"/>
              <w:spacing w:before="31" w:after="31"/>
              <w:jc w:val="left"/>
            </w:pPr>
            <w:bookmarkStart w:id="368" w:name="_Toc10207198"/>
            <w:bookmarkStart w:id="369" w:name="_Toc19545264"/>
            <w:bookmarkStart w:id="370" w:name="_Toc25690911"/>
            <w:bookmarkStart w:id="371" w:name="_Toc25690640"/>
            <w:bookmarkStart w:id="372" w:name="_Toc25070682"/>
            <w:bookmarkStart w:id="373" w:name="_Toc19545534"/>
            <w:bookmarkStart w:id="374" w:name="_Toc25070380"/>
            <w:r>
              <w:t>距轴向力N较远一侧钢筋的截面面积；</w:t>
            </w:r>
            <w:bookmarkEnd w:id="368"/>
            <w:bookmarkEnd w:id="369"/>
            <w:bookmarkEnd w:id="370"/>
            <w:bookmarkEnd w:id="371"/>
            <w:bookmarkEnd w:id="372"/>
            <w:bookmarkEnd w:id="373"/>
            <w:bookmarkEnd w:id="374"/>
          </w:p>
        </w:tc>
      </w:tr>
      <w:tr w14:paraId="3772AEE1">
        <w:tblPrEx>
          <w:tblCellMar>
            <w:top w:w="0" w:type="dxa"/>
            <w:left w:w="108" w:type="dxa"/>
            <w:bottom w:w="0" w:type="dxa"/>
            <w:right w:w="108" w:type="dxa"/>
          </w:tblCellMar>
        </w:tblPrEx>
        <w:tc>
          <w:tcPr>
            <w:tcW w:w="1481" w:type="dxa"/>
          </w:tcPr>
          <w:p w14:paraId="2B150045">
            <w:pPr>
              <w:pStyle w:val="55"/>
              <w:spacing w:before="31" w:after="31"/>
            </w:pPr>
            <w:r>
              <w:rPr>
                <w:position w:val="-10"/>
              </w:rPr>
              <w:object>
                <v:shape id="_x0000_i1080" o:spt="75" type="#_x0000_t75" style="height:19.9pt;width:19.9pt;" o:ole="t" filled="f" o:preferrelative="t" stroked="f" coordsize="21600,21600">
                  <v:path/>
                  <v:fill on="f" focussize="0,0"/>
                  <v:stroke on="f" joinstyle="miter"/>
                  <v:imagedata r:id="rId125" o:title=""/>
                  <o:lock v:ext="edit" aspectratio="t"/>
                  <w10:wrap type="none"/>
                  <w10:anchorlock/>
                </v:shape>
                <o:OLEObject Type="Embed" ProgID="Equation.DSMT4" ShapeID="_x0000_i1080" DrawAspect="Content" ObjectID="_1468075780" r:id="rId124">
                  <o:LockedField>false</o:LockedField>
                </o:OLEObject>
              </w:object>
            </w:r>
            <w:r>
              <w:t>——</w:t>
            </w:r>
          </w:p>
        </w:tc>
        <w:tc>
          <w:tcPr>
            <w:tcW w:w="6453" w:type="dxa"/>
            <w:tcMar>
              <w:left w:w="0" w:type="dxa"/>
            </w:tcMar>
            <w:vAlign w:val="center"/>
          </w:tcPr>
          <w:p w14:paraId="5FB82BBC">
            <w:pPr>
              <w:pStyle w:val="55"/>
              <w:spacing w:before="31" w:after="31"/>
              <w:jc w:val="left"/>
            </w:pPr>
            <w:bookmarkStart w:id="375" w:name="_Toc25690641"/>
            <w:bookmarkStart w:id="376" w:name="_Toc10207199"/>
            <w:bookmarkStart w:id="377" w:name="_Toc25070381"/>
            <w:bookmarkStart w:id="378" w:name="_Toc19545265"/>
            <w:bookmarkStart w:id="379" w:name="_Toc25070683"/>
            <w:bookmarkStart w:id="380" w:name="_Toc19545535"/>
            <w:bookmarkStart w:id="381" w:name="_Toc25690912"/>
            <w:r>
              <w:t>距轴向力N较近一侧钢筋的截面面积</w:t>
            </w:r>
            <w:bookmarkEnd w:id="375"/>
            <w:bookmarkEnd w:id="376"/>
            <w:bookmarkEnd w:id="377"/>
            <w:bookmarkEnd w:id="378"/>
            <w:bookmarkEnd w:id="379"/>
            <w:bookmarkEnd w:id="380"/>
            <w:bookmarkEnd w:id="381"/>
            <w:r>
              <w:t>。</w:t>
            </w:r>
          </w:p>
        </w:tc>
      </w:tr>
    </w:tbl>
    <w:p w14:paraId="45ABB093">
      <w:pPr>
        <w:ind w:firstLine="420"/>
      </w:pPr>
      <w:r>
        <w:t>按上述规定计算时，尚应符合下列要求：</w:t>
      </w:r>
    </w:p>
    <w:p w14:paraId="66A1D223">
      <w:pPr>
        <w:ind w:firstLine="422"/>
      </w:pPr>
      <w:r>
        <w:rPr>
          <w:b/>
          <w:bCs/>
        </w:rPr>
        <w:t>1</w:t>
      </w:r>
      <w:r>
        <w:t xml:space="preserve">  钢筋的应力</w:t>
      </w:r>
      <w:r>
        <w:rPr>
          <w:position w:val="-10"/>
        </w:rPr>
        <w:object>
          <v:shape id="_x0000_i1081" o:spt="75" type="#_x0000_t75" style="height:19.9pt;width:16.1pt;" o:ole="t" filled="f" o:preferrelative="t" stroked="f" coordsize="21600,21600">
            <v:path/>
            <v:fill on="f" focussize="0,0"/>
            <v:stroke on="f" joinstyle="miter"/>
            <v:imagedata r:id="rId95" o:title=""/>
            <o:lock v:ext="edit" aspectratio="t"/>
            <w10:wrap type="none"/>
            <w10:anchorlock/>
          </v:shape>
          <o:OLEObject Type="Embed" ProgID="Equation.DSMT4" ShapeID="_x0000_i1081" DrawAspect="Content" ObjectID="_1468075781" r:id="rId126">
            <o:LockedField>false</o:LockedField>
          </o:OLEObject>
        </w:object>
      </w:r>
      <w:r>
        <w:t>应</w:t>
      </w:r>
      <w:r>
        <w:rPr>
          <w:rFonts w:hint="eastAsia"/>
        </w:rPr>
        <w:t>符合</w:t>
      </w:r>
      <w:r>
        <w:t>下列规定：</w:t>
      </w:r>
    </w:p>
    <w:p w14:paraId="690787A4">
      <w:pPr>
        <w:ind w:firstLine="420"/>
      </w:pPr>
      <w:bookmarkStart w:id="382" w:name="_Toc25070658"/>
      <w:bookmarkStart w:id="383" w:name="_Toc19545240"/>
      <w:bookmarkStart w:id="384" w:name="_Toc10207173"/>
      <w:bookmarkStart w:id="385" w:name="_Toc25070356"/>
      <w:bookmarkStart w:id="386" w:name="_Toc25690887"/>
      <w:bookmarkStart w:id="387" w:name="_Toc19545510"/>
      <w:bookmarkStart w:id="388" w:name="_Toc25690616"/>
      <w:r>
        <w:t>1）当</w:t>
      </w:r>
      <w:r>
        <w:fldChar w:fldCharType="begin"/>
      </w:r>
      <w:r>
        <w:instrText xml:space="preserve"> QUOTE </w:instrText>
      </w:r>
      <w:r>
        <w:rPr>
          <w:position w:val="-9"/>
        </w:rPr>
        <w:pict>
          <v:shape id="_x0000_i1082" o:spt="75" type="#_x0000_t75" style="height:16.1pt;width:28.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D107CE&quot;/&gt;&lt;wsp:rsid wsp:val=&quot;00003F84&quot;/&gt;&lt;wsp:rsid wsp:val=&quot;00005F7A&quot;/&gt;&lt;wsp:rsid wsp:val=&quot;00006E8B&quot;/&gt;&lt;wsp:rsid wsp:val=&quot;00012500&quot;/&gt;&lt;wsp:rsid wsp:val=&quot;00012D4C&quot;/&gt;&lt;wsp:rsid wsp:val=&quot;00014843&quot;/&gt;&lt;wsp:rsid wsp:val=&quot;000160E0&quot;/&gt;&lt;wsp:rsid wsp:val=&quot;0001708B&quot;/&gt;&lt;wsp:rsid wsp:val=&quot;00027AC1&quot;/&gt;&lt;wsp:rsid wsp:val=&quot;00027F7F&quot;/&gt;&lt;wsp:rsid wsp:val=&quot;00033233&quot;/&gt;&lt;wsp:rsid wsp:val=&quot;00037257&quot;/&gt;&lt;wsp:rsid wsp:val=&quot;000436AE&quot;/&gt;&lt;wsp:rsid wsp:val=&quot;0004751F&quot;/&gt;&lt;wsp:rsid wsp:val=&quot;000547B9&quot;/&gt;&lt;wsp:rsid wsp:val=&quot;00055FCC&quot;/&gt;&lt;wsp:rsid wsp:val=&quot;00056FD1&quot;/&gt;&lt;wsp:rsid wsp:val=&quot;00060661&quot;/&gt;&lt;wsp:rsid wsp:val=&quot;00061ED3&quot;/&gt;&lt;wsp:rsid wsp:val=&quot;00061FA6&quot;/&gt;&lt;wsp:rsid wsp:val=&quot;00067C68&quot;/&gt;&lt;wsp:rsid wsp:val=&quot;00071F39&quot;/&gt;&lt;wsp:rsid wsp:val=&quot;00072880&quot;/&gt;&lt;wsp:rsid wsp:val=&quot;00075B0C&quot;/&gt;&lt;wsp:rsid wsp:val=&quot;000805A1&quot;/&gt;&lt;wsp:rsid wsp:val=&quot;00082501&quot;/&gt;&lt;wsp:rsid wsp:val=&quot;00087FD7&quot;/&gt;&lt;wsp:rsid wsp:val=&quot;00092622&quot;/&gt;&lt;wsp:rsid wsp:val=&quot;0009388A&quot;/&gt;&lt;wsp:rsid wsp:val=&quot;000975A0&quot;/&gt;&lt;wsp:rsid wsp:val=&quot;000A6D3B&quot;/&gt;&lt;wsp:rsid wsp:val=&quot;000B0409&quot;/&gt;&lt;wsp:rsid wsp:val=&quot;000B32CD&quot;/&gt;&lt;wsp:rsid wsp:val=&quot;000B3D61&quot;/&gt;&lt;wsp:rsid wsp:val=&quot;000C1C60&quot;/&gt;&lt;wsp:rsid wsp:val=&quot;000C2A94&quot;/&gt;&lt;wsp:rsid wsp:val=&quot;000C7317&quot;/&gt;&lt;wsp:rsid wsp:val=&quot;000D2C9F&quot;/&gt;&lt;wsp:rsid wsp:val=&quot;000E22D7&quot;/&gt;&lt;wsp:rsid wsp:val=&quot;000E2B45&quot;/&gt;&lt;wsp:rsid wsp:val=&quot;000E3D13&quot;/&gt;&lt;wsp:rsid wsp:val=&quot;000F0288&quot;/&gt;&lt;wsp:rsid wsp:val=&quot;000F06F1&quot;/&gt;&lt;wsp:rsid wsp:val=&quot;000F3117&quot;/&gt;&lt;wsp:rsid wsp:val=&quot;00107520&quot;/&gt;&lt;wsp:rsid wsp:val=&quot;00113B6D&quot;/&gt;&lt;wsp:rsid wsp:val=&quot;001163EF&quot;/&gt;&lt;wsp:rsid wsp:val=&quot;001166F1&quot;/&gt;&lt;wsp:rsid wsp:val=&quot;00123679&quot;/&gt;&lt;wsp:rsid wsp:val=&quot;00127372&quot;/&gt;&lt;wsp:rsid wsp:val=&quot;0013157C&quot;/&gt;&lt;wsp:rsid wsp:val=&quot;0013207A&quot;/&gt;&lt;wsp:rsid wsp:val=&quot;00134E29&quot;/&gt;&lt;wsp:rsid wsp:val=&quot;00135346&quot;/&gt;&lt;wsp:rsid wsp:val=&quot;00136BAB&quot;/&gt;&lt;wsp:rsid wsp:val=&quot;00146169&quot;/&gt;&lt;wsp:rsid wsp:val=&quot;00150386&quot;/&gt;&lt;wsp:rsid wsp:val=&quot;00155E89&quot;/&gt;&lt;wsp:rsid wsp:val=&quot;00163D0D&quot;/&gt;&lt;wsp:rsid wsp:val=&quot;0016406C&quot;/&gt;&lt;wsp:rsid wsp:val=&quot;0017199D&quot;/&gt;&lt;wsp:rsid wsp:val=&quot;00173A48&quot;/&gt;&lt;wsp:rsid wsp:val=&quot;001744A8&quot;/&gt;&lt;wsp:rsid wsp:val=&quot;00185351&quot;/&gt;&lt;wsp:rsid wsp:val=&quot;00193A3D&quot;/&gt;&lt;wsp:rsid wsp:val=&quot;00197022&quot;/&gt;&lt;wsp:rsid wsp:val=&quot;00197F17&quot;/&gt;&lt;wsp:rsid wsp:val=&quot;001A2FF8&quot;/&gt;&lt;wsp:rsid wsp:val=&quot;001A35DF&quot;/&gt;&lt;wsp:rsid wsp:val=&quot;001A5E36&quot;/&gt;&lt;wsp:rsid wsp:val=&quot;001C5CCB&quot;/&gt;&lt;wsp:rsid wsp:val=&quot;001E0982&quot;/&gt;&lt;wsp:rsid wsp:val=&quot;001E15E2&quot;/&gt;&lt;wsp:rsid wsp:val=&quot;001E174F&quot;/&gt;&lt;wsp:rsid wsp:val=&quot;001E593C&quot;/&gt;&lt;wsp:rsid wsp:val=&quot;001F1859&quot;/&gt;&lt;wsp:rsid wsp:val=&quot;001F2469&quot;/&gt;&lt;wsp:rsid wsp:val=&quot;001F67AB&quot;/&gt;&lt;wsp:rsid wsp:val=&quot;001F700F&quot;/&gt;&lt;wsp:rsid wsp:val=&quot;00207C29&quot;/&gt;&lt;wsp:rsid wsp:val=&quot;0021227A&quot;/&gt;&lt;wsp:rsid wsp:val=&quot;00222542&quot;/&gt;&lt;wsp:rsid wsp:val=&quot;00222FC7&quot;/&gt;&lt;wsp:rsid wsp:val=&quot;00223A7C&quot;/&gt;&lt;wsp:rsid wsp:val=&quot;00225A9C&quot;/&gt;&lt;wsp:rsid wsp:val=&quot;00231083&quot;/&gt;&lt;wsp:rsid wsp:val=&quot;00231FE4&quot;/&gt;&lt;wsp:rsid wsp:val=&quot;00245AB9&quot;/&gt;&lt;wsp:rsid wsp:val=&quot;002473E3&quot;/&gt;&lt;wsp:rsid wsp:val=&quot;00247A7E&quot;/&gt;&lt;wsp:rsid wsp:val=&quot;0025008A&quot;/&gt;&lt;wsp:rsid wsp:val=&quot;002664EB&quot;/&gt;&lt;wsp:rsid wsp:val=&quot;00267951&quot;/&gt;&lt;wsp:rsid wsp:val=&quot;00270133&quot;/&gt;&lt;wsp:rsid wsp:val=&quot;0027199A&quot;/&gt;&lt;wsp:rsid wsp:val=&quot;00286869&quot;/&gt;&lt;wsp:rsid wsp:val=&quot;002A10DE&quot;/&gt;&lt;wsp:rsid wsp:val=&quot;002B1C38&quot;/&gt;&lt;wsp:rsid wsp:val=&quot;002B42C8&quot;/&gt;&lt;wsp:rsid wsp:val=&quot;002B6B0A&quot;/&gt;&lt;wsp:rsid wsp:val=&quot;002B71FB&quot;/&gt;&lt;wsp:rsid wsp:val=&quot;002C07B4&quot;/&gt;&lt;wsp:rsid wsp:val=&quot;002C150D&quot;/&gt;&lt;wsp:rsid wsp:val=&quot;002C3795&quot;/&gt;&lt;wsp:rsid wsp:val=&quot;002D203E&quot;/&gt;&lt;wsp:rsid wsp:val=&quot;002E14A1&quot;/&gt;&lt;wsp:rsid wsp:val=&quot;002E7A90&quot;/&gt;&lt;wsp:rsid wsp:val=&quot;002F55F0&quot;/&gt;&lt;wsp:rsid wsp:val=&quot;003000D8&quot;/&gt;&lt;wsp:rsid wsp:val=&quot;0030736C&quot;/&gt;&lt;wsp:rsid wsp:val=&quot;00307E0C&quot;/&gt;&lt;wsp:rsid wsp:val=&quot;00322796&quot;/&gt;&lt;wsp:rsid wsp:val=&quot;00333047&quot;/&gt;&lt;wsp:rsid wsp:val=&quot;00342AE1&quot;/&gt;&lt;wsp:rsid wsp:val=&quot;00347E61&quot;/&gt;&lt;wsp:rsid wsp:val=&quot;003551D7&quot;/&gt;&lt;wsp:rsid wsp:val=&quot;00360A02&quot;/&gt;&lt;wsp:rsid wsp:val=&quot;00363DD7&quot;/&gt;&lt;wsp:rsid wsp:val=&quot;00375B06&quot;/&gt;&lt;wsp:rsid wsp:val=&quot;0038129D&quot;/&gt;&lt;wsp:rsid wsp:val=&quot;00381C7E&quot;/&gt;&lt;wsp:rsid wsp:val=&quot;003A3032&quot;/&gt;&lt;wsp:rsid wsp:val=&quot;003A5DD0&quot;/&gt;&lt;wsp:rsid wsp:val=&quot;003A66E3&quot;/&gt;&lt;wsp:rsid wsp:val=&quot;003B3C9C&quot;/&gt;&lt;wsp:rsid wsp:val=&quot;003B7E24&quot;/&gt;&lt;wsp:rsid wsp:val=&quot;003C0A50&quot;/&gt;&lt;wsp:rsid wsp:val=&quot;003C69D5&quot;/&gt;&lt;wsp:rsid wsp:val=&quot;003D68CA&quot;/&gt;&lt;wsp:rsid wsp:val=&quot;003E1312&quot;/&gt;&lt;wsp:rsid wsp:val=&quot;003E52C8&quot;/&gt;&lt;wsp:rsid wsp:val=&quot;003E5A58&quot;/&gt;&lt;wsp:rsid wsp:val=&quot;003E7BED&quot;/&gt;&lt;wsp:rsid wsp:val=&quot;003F2938&quot;/&gt;&lt;wsp:rsid wsp:val=&quot;003F3B96&quot;/&gt;&lt;wsp:rsid wsp:val=&quot;003F58EB&quot;/&gt;&lt;wsp:rsid wsp:val=&quot;003F77CB&quot;/&gt;&lt;wsp:rsid wsp:val=&quot;00400C1A&quot;/&gt;&lt;wsp:rsid wsp:val=&quot;00402201&quot;/&gt;&lt;wsp:rsid wsp:val=&quot;0040251F&quot;/&gt;&lt;wsp:rsid wsp:val=&quot;004033CA&quot;/&gt;&lt;wsp:rsid wsp:val=&quot;00407731&quot;/&gt;&lt;wsp:rsid wsp:val=&quot;00407A2E&quot;/&gt;&lt;wsp:rsid wsp:val=&quot;00413DB6&quot;/&gt;&lt;wsp:rsid wsp:val=&quot;00415F3E&quot;/&gt;&lt;wsp:rsid wsp:val=&quot;00416886&quot;/&gt;&lt;wsp:rsid wsp:val=&quot;0041727F&quot;/&gt;&lt;wsp:rsid wsp:val=&quot;00427022&quot;/&gt;&lt;wsp:rsid wsp:val=&quot;004279DC&quot;/&gt;&lt;wsp:rsid wsp:val=&quot;0043372C&quot;/&gt;&lt;wsp:rsid wsp:val=&quot;00442BAB&quot;/&gt;&lt;wsp:rsid wsp:val=&quot;00443E75&quot;/&gt;&lt;wsp:rsid wsp:val=&quot;00445D71&quot;/&gt;&lt;wsp:rsid wsp:val=&quot;004531E3&quot;/&gt;&lt;wsp:rsid wsp:val=&quot;00457C86&quot;/&gt;&lt;wsp:rsid wsp:val=&quot;00463537&quot;/&gt;&lt;wsp:rsid wsp:val=&quot;004752CC&quot;/&gt;&lt;wsp:rsid wsp:val=&quot;00483765&quot;/&gt;&lt;wsp:rsid wsp:val=&quot;0049036A&quot;/&gt;&lt;wsp:rsid wsp:val=&quot;00490D51&quot;/&gt;&lt;wsp:rsid wsp:val=&quot;00491A9E&quot;/&gt;&lt;wsp:rsid wsp:val=&quot;00492847&quot;/&gt;&lt;wsp:rsid wsp:val=&quot;004A1774&quot;/&gt;&lt;wsp:rsid wsp:val=&quot;004A2622&quot;/&gt;&lt;wsp:rsid wsp:val=&quot;004A493B&quot;/&gt;&lt;wsp:rsid wsp:val=&quot;004B1275&quot;/&gt;&lt;wsp:rsid wsp:val=&quot;004B22CD&quot;/&gt;&lt;wsp:rsid wsp:val=&quot;004C24D0&quot;/&gt;&lt;wsp:rsid wsp:val=&quot;004D7C8E&quot;/&gt;&lt;wsp:rsid wsp:val=&quot;004E4221&quot;/&gt;&lt;wsp:rsid wsp:val=&quot;004E753C&quot;/&gt;&lt;wsp:rsid wsp:val=&quot;004F0C87&quot;/&gt;&lt;wsp:rsid wsp:val=&quot;004F191F&quot;/&gt;&lt;wsp:rsid wsp:val=&quot;004F2142&quot;/&gt;&lt;wsp:rsid wsp:val=&quot;0050457D&quot;/&gt;&lt;wsp:rsid wsp:val=&quot;00505438&quot;/&gt;&lt;wsp:rsid wsp:val=&quot;005059D9&quot;/&gt;&lt;wsp:rsid wsp:val=&quot;00507D32&quot;/&gt;&lt;wsp:rsid wsp:val=&quot;0051020D&quot;/&gt;&lt;wsp:rsid wsp:val=&quot;0051138C&quot;/&gt;&lt;wsp:rsid wsp:val=&quot;00512189&quot;/&gt;&lt;wsp:rsid wsp:val=&quot;00513BCC&quot;/&gt;&lt;wsp:rsid wsp:val=&quot;00517038&quot;/&gt;&lt;wsp:rsid wsp:val=&quot;005172BB&quot;/&gt;&lt;wsp:rsid wsp:val=&quot;005206F6&quot;/&gt;&lt;wsp:rsid wsp:val=&quot;00523B29&quot;/&gt;&lt;wsp:rsid wsp:val=&quot;005341A4&quot;/&gt;&lt;wsp:rsid wsp:val=&quot;0053688A&quot;/&gt;&lt;wsp:rsid wsp:val=&quot;00540C92&quot;/&gt;&lt;wsp:rsid wsp:val=&quot;00540D54&quot;/&gt;&lt;wsp:rsid wsp:val=&quot;0054278A&quot;/&gt;&lt;wsp:rsid wsp:val=&quot;00543539&quot;/&gt;&lt;wsp:rsid wsp:val=&quot;00551EC3&quot;/&gt;&lt;wsp:rsid wsp:val=&quot;005525C2&quot;/&gt;&lt;wsp:rsid wsp:val=&quot;005562E2&quot;/&gt;&lt;wsp:rsid wsp:val=&quot;0056031F&quot;/&gt;&lt;wsp:rsid wsp:val=&quot;005658F8&quot;/&gt;&lt;wsp:rsid wsp:val=&quot;00565F5F&quot;/&gt;&lt;wsp:rsid wsp:val=&quot;00566D42&quot;/&gt;&lt;wsp:rsid wsp:val=&quot;005720AC&quot;/&gt;&lt;wsp:rsid wsp:val=&quot;00572BEC&quot;/&gt;&lt;wsp:rsid wsp:val=&quot;00574370&quot;/&gt;&lt;wsp:rsid wsp:val=&quot;005774F5&quot;/&gt;&lt;wsp:rsid wsp:val=&quot;00580C59&quot;/&gt;&lt;wsp:rsid wsp:val=&quot;005907C8&quot;/&gt;&lt;wsp:rsid wsp:val=&quot;005937DF&quot;/&gt;&lt;wsp:rsid wsp:val=&quot;00597E98&quot;/&gt;&lt;wsp:rsid wsp:val=&quot;005A2D0E&quot;/&gt;&lt;wsp:rsid wsp:val=&quot;005A6B40&quot;/&gt;&lt;wsp:rsid wsp:val=&quot;005B0028&quot;/&gt;&lt;wsp:rsid wsp:val=&quot;005B0599&quot;/&gt;&lt;wsp:rsid wsp:val=&quot;005B128C&quot;/&gt;&lt;wsp:rsid wsp:val=&quot;005B2A33&quot;/&gt;&lt;wsp:rsid wsp:val=&quot;005C46B9&quot;/&gt;&lt;wsp:rsid wsp:val=&quot;005E144D&quot;/&gt;&lt;wsp:rsid wsp:val=&quot;005F216F&quot;/&gt;&lt;wsp:rsid wsp:val=&quot;005F5040&quot;/&gt;&lt;wsp:rsid wsp:val=&quot;005F72EC&quot;/&gt;&lt;wsp:rsid wsp:val=&quot;006009A2&quot;/&gt;&lt;wsp:rsid wsp:val=&quot;00601751&quot;/&gt;&lt;wsp:rsid wsp:val=&quot;00603CC5&quot;/&gt;&lt;wsp:rsid wsp:val=&quot;00604005&quot;/&gt;&lt;wsp:rsid wsp:val=&quot;00611215&quot;/&gt;&lt;wsp:rsid wsp:val=&quot;006310B9&quot;/&gt;&lt;wsp:rsid wsp:val=&quot;006333BD&quot;/&gt;&lt;wsp:rsid wsp:val=&quot;00634376&quot;/&gt;&lt;wsp:rsid wsp:val=&quot;00635545&quot;/&gt;&lt;wsp:rsid wsp:val=&quot;006373B9&quot;/&gt;&lt;wsp:rsid wsp:val=&quot;00641F35&quot;/&gt;&lt;wsp:rsid wsp:val=&quot;00651476&quot;/&gt;&lt;wsp:rsid wsp:val=&quot;006605DD&quot;/&gt;&lt;wsp:rsid wsp:val=&quot;00674843&quot;/&gt;&lt;wsp:rsid wsp:val=&quot;00677298&quot;/&gt;&lt;wsp:rsid wsp:val=&quot;006779AC&quot;/&gt;&lt;wsp:rsid wsp:val=&quot;006806DE&quot;/&gt;&lt;wsp:rsid wsp:val=&quot;00682E5F&quot;/&gt;&lt;wsp:rsid wsp:val=&quot;006845F4&quot;/&gt;&lt;wsp:rsid wsp:val=&quot;00686A3B&quot;/&gt;&lt;wsp:rsid wsp:val=&quot;006942E0&quot;/&gt;&lt;wsp:rsid wsp:val=&quot;006A28DB&quot;/&gt;&lt;wsp:rsid wsp:val=&quot;006A3BA8&quot;/&gt;&lt;wsp:rsid wsp:val=&quot;006A4463&quot;/&gt;&lt;wsp:rsid wsp:val=&quot;006A570C&quot;/&gt;&lt;wsp:rsid wsp:val=&quot;006B2FE2&quot;/&gt;&lt;wsp:rsid wsp:val=&quot;006B3AE6&quot;/&gt;&lt;wsp:rsid wsp:val=&quot;006B6292&quot;/&gt;&lt;wsp:rsid wsp:val=&quot;006B643A&quot;/&gt;&lt;wsp:rsid wsp:val=&quot;006B647A&quot;/&gt;&lt;wsp:rsid wsp:val=&quot;006B70D0&quot;/&gt;&lt;wsp:rsid wsp:val=&quot;006C734F&quot;/&gt;&lt;wsp:rsid wsp:val=&quot;006D15CA&quot;/&gt;&lt;wsp:rsid wsp:val=&quot;006D35DC&quot;/&gt;&lt;wsp:rsid wsp:val=&quot;006D36E6&quot;/&gt;&lt;wsp:rsid wsp:val=&quot;006D3EF1&quot;/&gt;&lt;wsp:rsid wsp:val=&quot;006E3090&quot;/&gt;&lt;wsp:rsid wsp:val=&quot;006E3D33&quot;/&gt;&lt;wsp:rsid wsp:val=&quot;00700889&quot;/&gt;&lt;wsp:rsid wsp:val=&quot;007143C9&quot;/&gt;&lt;wsp:rsid wsp:val=&quot;007171C4&quot;/&gt;&lt;wsp:rsid wsp:val=&quot;00727FBF&quot;/&gt;&lt;wsp:rsid wsp:val=&quot;0073149F&quot;/&gt;&lt;wsp:rsid wsp:val=&quot;0073154F&quot;/&gt;&lt;wsp:rsid wsp:val=&quot;00733AB9&quot;/&gt;&lt;wsp:rsid wsp:val=&quot;007366A7&quot;/&gt;&lt;wsp:rsid wsp:val=&quot;007400B2&quot;/&gt;&lt;wsp:rsid wsp:val=&quot;00745CA3&quot;/&gt;&lt;wsp:rsid wsp:val=&quot;007462A1&quot;/&gt;&lt;wsp:rsid wsp:val=&quot;007466C6&quot;/&gt;&lt;wsp:rsid wsp:val=&quot;0074785A&quot;/&gt;&lt;wsp:rsid wsp:val=&quot;00755E89&quot;/&gt;&lt;wsp:rsid wsp:val=&quot;00756D92&quot;/&gt;&lt;wsp:rsid wsp:val=&quot;007616F1&quot;/&gt;&lt;wsp:rsid wsp:val=&quot;007644B7&quot;/&gt;&lt;wsp:rsid wsp:val=&quot;007658B3&quot;/&gt;&lt;wsp:rsid wsp:val=&quot;007747FE&quot;/&gt;&lt;wsp:rsid wsp:val=&quot;00775B33&quot;/&gt;&lt;wsp:rsid wsp:val=&quot;00776DBD&quot;/&gt;&lt;wsp:rsid wsp:val=&quot;00780D6C&quot;/&gt;&lt;wsp:rsid wsp:val=&quot;00783506&quot;/&gt;&lt;wsp:rsid wsp:val=&quot;0078550F&quot;/&gt;&lt;wsp:rsid wsp:val=&quot;00787A25&quot;/&gt;&lt;wsp:rsid wsp:val=&quot;0079049F&quot;/&gt;&lt;wsp:rsid wsp:val=&quot;007911A1&quot;/&gt;&lt;wsp:rsid wsp:val=&quot;007923E5&quot;/&gt;&lt;wsp:rsid wsp:val=&quot;007A1CCE&quot;/&gt;&lt;wsp:rsid wsp:val=&quot;007B20FB&quot;/&gt;&lt;wsp:rsid wsp:val=&quot;007C1C3B&quot;/&gt;&lt;wsp:rsid wsp:val=&quot;007C7169&quot;/&gt;&lt;wsp:rsid wsp:val=&quot;007D59FD&quot;/&gt;&lt;wsp:rsid wsp:val=&quot;007D7D08&quot;/&gt;&lt;wsp:rsid wsp:val=&quot;007E6634&quot;/&gt;&lt;wsp:rsid wsp:val=&quot;007F01E6&quot;/&gt;&lt;wsp:rsid wsp:val=&quot;00802ABE&quot;/&gt;&lt;wsp:rsid wsp:val=&quot;00806751&quot;/&gt;&lt;wsp:rsid wsp:val=&quot;008076C4&quot;/&gt;&lt;wsp:rsid wsp:val=&quot;008127FF&quot;/&gt;&lt;wsp:rsid wsp:val=&quot;0081417D&quot;/&gt;&lt;wsp:rsid wsp:val=&quot;0081687D&quot;/&gt;&lt;wsp:rsid wsp:val=&quot;00832973&quot;/&gt;&lt;wsp:rsid wsp:val=&quot;00835C3D&quot;/&gt;&lt;wsp:rsid wsp:val=&quot;00844483&quot;/&gt;&lt;wsp:rsid wsp:val=&quot;00844B2E&quot;/&gt;&lt;wsp:rsid wsp:val=&quot;00851EF9&quot;/&gt;&lt;wsp:rsid wsp:val=&quot;0085644E&quot;/&gt;&lt;wsp:rsid wsp:val=&quot;00856BEA&quot;/&gt;&lt;wsp:rsid wsp:val=&quot;008615FA&quot;/&gt;&lt;wsp:rsid wsp:val=&quot;00862C73&quot;/&gt;&lt;wsp:rsid wsp:val=&quot;00865CA8&quot;/&gt;&lt;wsp:rsid wsp:val=&quot;00865ECD&quot;/&gt;&lt;wsp:rsid wsp:val=&quot;00865F36&quot;/&gt;&lt;wsp:rsid wsp:val=&quot;00866E27&quot;/&gt;&lt;wsp:rsid wsp:val=&quot;0087382E&quot;/&gt;&lt;wsp:rsid wsp:val=&quot;008831B9&quot;/&gt;&lt;wsp:rsid wsp:val=&quot;0088534B&quot;/&gt;&lt;wsp:rsid wsp:val=&quot;0089772A&quot;/&gt;&lt;wsp:rsid wsp:val=&quot;008A17F8&quot;/&gt;&lt;wsp:rsid wsp:val=&quot;008A5B02&quot;/&gt;&lt;wsp:rsid wsp:val=&quot;008B0E96&quot;/&gt;&lt;wsp:rsid wsp:val=&quot;008B2BE7&quot;/&gt;&lt;wsp:rsid wsp:val=&quot;008C0C65&quot;/&gt;&lt;wsp:rsid wsp:val=&quot;008C5231&quot;/&gt;&lt;wsp:rsid wsp:val=&quot;008E66A6&quot;/&gt;&lt;wsp:rsid wsp:val=&quot;008F501E&quot;/&gt;&lt;wsp:rsid wsp:val=&quot;008F5263&quot;/&gt;&lt;wsp:rsid wsp:val=&quot;008F5FCF&quot;/&gt;&lt;wsp:rsid wsp:val=&quot;008F646D&quot;/&gt;&lt;wsp:rsid wsp:val=&quot;009024EA&quot;/&gt;&lt;wsp:rsid wsp:val=&quot;00911567&quot;/&gt;&lt;wsp:rsid wsp:val=&quot;00925217&quot;/&gt;&lt;wsp:rsid wsp:val=&quot;00927261&quot;/&gt;&lt;wsp:rsid wsp:val=&quot;00942F8A&quot;/&gt;&lt;wsp:rsid wsp:val=&quot;009529DF&quot;/&gt;&lt;wsp:rsid wsp:val=&quot;0095685F&quot;/&gt;&lt;wsp:rsid wsp:val=&quot;009575EE&quot;/&gt;&lt;wsp:rsid wsp:val=&quot;009614FB&quot;/&gt;&lt;wsp:rsid wsp:val=&quot;00965E40&quot;/&gt;&lt;wsp:rsid wsp:val=&quot;0096710E&quot;/&gt;&lt;wsp:rsid wsp:val=&quot;0096759D&quot;/&gt;&lt;wsp:rsid wsp:val=&quot;00976C57&quot;/&gt;&lt;wsp:rsid wsp:val=&quot;009819DA&quot;/&gt;&lt;wsp:rsid wsp:val=&quot;009824AB&quot;/&gt;&lt;wsp:rsid wsp:val=&quot;00983AD2&quot;/&gt;&lt;wsp:rsid wsp:val=&quot;00983CCB&quot;/&gt;&lt;wsp:rsid wsp:val=&quot;009913F6&quot;/&gt;&lt;wsp:rsid wsp:val=&quot;00992D31&quot;/&gt;&lt;wsp:rsid wsp:val=&quot;009957E9&quot;/&gt;&lt;wsp:rsid wsp:val=&quot;009A5872&quot;/&gt;&lt;wsp:rsid wsp:val=&quot;009A6483&quot;/&gt;&lt;wsp:rsid wsp:val=&quot;009A7D70&quot;/&gt;&lt;wsp:rsid wsp:val=&quot;009B12AC&quot;/&gt;&lt;wsp:rsid wsp:val=&quot;009C5404&quot;/&gt;&lt;wsp:rsid wsp:val=&quot;009C5E29&quot;/&gt;&lt;wsp:rsid wsp:val=&quot;009C7A06&quot;/&gt;&lt;wsp:rsid wsp:val=&quot;009E0F31&quot;/&gt;&lt;wsp:rsid wsp:val=&quot;009E18D1&quot;/&gt;&lt;wsp:rsid wsp:val=&quot;009E6A96&quot;/&gt;&lt;wsp:rsid wsp:val=&quot;009F7468&quot;/&gt;&lt;wsp:rsid wsp:val=&quot;009F7612&quot;/&gt;&lt;wsp:rsid wsp:val=&quot;00A01FFC&quot;/&gt;&lt;wsp:rsid wsp:val=&quot;00A03B72&quot;/&gt;&lt;wsp:rsid wsp:val=&quot;00A05EF5&quot;/&gt;&lt;wsp:rsid wsp:val=&quot;00A10FD0&quot;/&gt;&lt;wsp:rsid wsp:val=&quot;00A1278E&quot;/&gt;&lt;wsp:rsid wsp:val=&quot;00A26165&quot;/&gt;&lt;wsp:rsid wsp:val=&quot;00A32554&quot;/&gt;&lt;wsp:rsid wsp:val=&quot;00A35BC0&quot;/&gt;&lt;wsp:rsid wsp:val=&quot;00A53E96&quot;/&gt;&lt;wsp:rsid wsp:val=&quot;00A65E7D&quot;/&gt;&lt;wsp:rsid wsp:val=&quot;00A67B2D&quot;/&gt;&lt;wsp:rsid wsp:val=&quot;00A70FB2&quot;/&gt;&lt;wsp:rsid wsp:val=&quot;00A742EA&quot;/&gt;&lt;wsp:rsid wsp:val=&quot;00A82002&quot;/&gt;&lt;wsp:rsid wsp:val=&quot;00A84A84&quot;/&gt;&lt;wsp:rsid wsp:val=&quot;00A8668E&quot;/&gt;&lt;wsp:rsid wsp:val=&quot;00A87137&quot;/&gt;&lt;wsp:rsid wsp:val=&quot;00A916CD&quot;/&gt;&lt;wsp:rsid wsp:val=&quot;00A94188&quot;/&gt;&lt;wsp:rsid wsp:val=&quot;00AA2242&quot;/&gt;&lt;wsp:rsid wsp:val=&quot;00AA65EA&quot;/&gt;&lt;wsp:rsid wsp:val=&quot;00AB10B6&quot;/&gt;&lt;wsp:rsid wsp:val=&quot;00AB11F0&quot;/&gt;&lt;wsp:rsid wsp:val=&quot;00AB184C&quot;/&gt;&lt;wsp:rsid wsp:val=&quot;00AB63FC&quot;/&gt;&lt;wsp:rsid wsp:val=&quot;00AC0468&quot;/&gt;&lt;wsp:rsid wsp:val=&quot;00AC0A6E&quot;/&gt;&lt;wsp:rsid wsp:val=&quot;00AD0CD5&quot;/&gt;&lt;wsp:rsid wsp:val=&quot;00AD24DD&quot;/&gt;&lt;wsp:rsid wsp:val=&quot;00AE32EA&quot;/&gt;&lt;wsp:rsid wsp:val=&quot;00AE5D2C&quot;/&gt;&lt;wsp:rsid wsp:val=&quot;00AF1C80&quot;/&gt;&lt;wsp:rsid wsp:val=&quot;00AF460F&quot;/&gt;&lt;wsp:rsid wsp:val=&quot;00AF7CA1&quot;/&gt;&lt;wsp:rsid wsp:val=&quot;00B031AA&quot;/&gt;&lt;wsp:rsid wsp:val=&quot;00B06705&quot;/&gt;&lt;wsp:rsid wsp:val=&quot;00B074D4&quot;/&gt;&lt;wsp:rsid wsp:val=&quot;00B075F2&quot;/&gt;&lt;wsp:rsid wsp:val=&quot;00B1006A&quot;/&gt;&lt;wsp:rsid wsp:val=&quot;00B11B69&quot;/&gt;&lt;wsp:rsid wsp:val=&quot;00B14619&quot;/&gt;&lt;wsp:rsid wsp:val=&quot;00B21C08&quot;/&gt;&lt;wsp:rsid wsp:val=&quot;00B27EEF&quot;/&gt;&lt;wsp:rsid wsp:val=&quot;00B30FF2&quot;/&gt;&lt;wsp:rsid wsp:val=&quot;00B35E33&quot;/&gt;&lt;wsp:rsid wsp:val=&quot;00B52B8B&quot;/&gt;&lt;wsp:rsid wsp:val=&quot;00B54CB7&quot;/&gt;&lt;wsp:rsid wsp:val=&quot;00B66C2C&quot;/&gt;&lt;wsp:rsid wsp:val=&quot;00B70069&quot;/&gt;&lt;wsp:rsid wsp:val=&quot;00B73469&quot;/&gt;&lt;wsp:rsid wsp:val=&quot;00B80FE5&quot;/&gt;&lt;wsp:rsid wsp:val=&quot;00B82DC1&quot;/&gt;&lt;wsp:rsid wsp:val=&quot;00B83FEA&quot;/&gt;&lt;wsp:rsid wsp:val=&quot;00B84EC8&quot;/&gt;&lt;wsp:rsid wsp:val=&quot;00B85CCF&quot;/&gt;&lt;wsp:rsid wsp:val=&quot;00B965DA&quot;/&gt;&lt;wsp:rsid wsp:val=&quot;00BA3D90&quot;/&gt;&lt;wsp:rsid wsp:val=&quot;00BA5B24&quot;/&gt;&lt;wsp:rsid wsp:val=&quot;00BB0E9A&quot;/&gt;&lt;wsp:rsid wsp:val=&quot;00BB475C&quot;/&gt;&lt;wsp:rsid wsp:val=&quot;00BC637E&quot;/&gt;&lt;wsp:rsid wsp:val=&quot;00BD2D48&quot;/&gt;&lt;wsp:rsid wsp:val=&quot;00BD785C&quot;/&gt;&lt;wsp:rsid wsp:val=&quot;00BE5DA3&quot;/&gt;&lt;wsp:rsid wsp:val=&quot;00BF11BB&quot;/&gt;&lt;wsp:rsid wsp:val=&quot;00BF2D25&quot;/&gt;&lt;wsp:rsid wsp:val=&quot;00BF630B&quot;/&gt;&lt;wsp:rsid wsp:val=&quot;00C0116E&quot;/&gt;&lt;wsp:rsid wsp:val=&quot;00C07731&quot;/&gt;&lt;wsp:rsid wsp:val=&quot;00C150E9&quot;/&gt;&lt;wsp:rsid wsp:val=&quot;00C200A1&quot;/&gt;&lt;wsp:rsid wsp:val=&quot;00C204B6&quot;/&gt;&lt;wsp:rsid wsp:val=&quot;00C226DC&quot;/&gt;&lt;wsp:rsid wsp:val=&quot;00C2551E&quot;/&gt;&lt;wsp:rsid wsp:val=&quot;00C303C7&quot;/&gt;&lt;wsp:rsid wsp:val=&quot;00C436BD&quot;/&gt;&lt;wsp:rsid wsp:val=&quot;00C51CD7&quot;/&gt;&lt;wsp:rsid wsp:val=&quot;00C52333&quot;/&gt;&lt;wsp:rsid wsp:val=&quot;00C528E3&quot;/&gt;&lt;wsp:rsid wsp:val=&quot;00C55103&quot;/&gt;&lt;wsp:rsid wsp:val=&quot;00C56CA9&quot;/&gt;&lt;wsp:rsid wsp:val=&quot;00C57F90&quot;/&gt;&lt;wsp:rsid wsp:val=&quot;00C62E0C&quot;/&gt;&lt;wsp:rsid wsp:val=&quot;00C65B60&quot;/&gt;&lt;wsp:rsid wsp:val=&quot;00C67E7B&quot;/&gt;&lt;wsp:rsid wsp:val=&quot;00C74E1E&quot;/&gt;&lt;wsp:rsid wsp:val=&quot;00C75E74&quot;/&gt;&lt;wsp:rsid wsp:val=&quot;00C75FEF&quot;/&gt;&lt;wsp:rsid wsp:val=&quot;00C848B0&quot;/&gt;&lt;wsp:rsid wsp:val=&quot;00C910BB&quot;/&gt;&lt;wsp:rsid wsp:val=&quot;00C943F2&quot;/&gt;&lt;wsp:rsid wsp:val=&quot;00C96CEE&quot;/&gt;&lt;wsp:rsid wsp:val=&quot;00C96DA1&quot;/&gt;&lt;wsp:rsid wsp:val=&quot;00CA348C&quot;/&gt;&lt;wsp:rsid wsp:val=&quot;00CA41A7&quot;/&gt;&lt;wsp:rsid wsp:val=&quot;00CC38D5&quot;/&gt;&lt;wsp:rsid wsp:val=&quot;00CC48AE&quot;/&gt;&lt;wsp:rsid wsp:val=&quot;00CC5921&quot;/&gt;&lt;wsp:rsid wsp:val=&quot;00CC6018&quot;/&gt;&lt;wsp:rsid wsp:val=&quot;00CD15C8&quot;/&gt;&lt;wsp:rsid wsp:val=&quot;00CD20D5&quot;/&gt;&lt;wsp:rsid wsp:val=&quot;00CD2A55&quot;/&gt;&lt;wsp:rsid wsp:val=&quot;00CD37C1&quot;/&gt;&lt;wsp:rsid wsp:val=&quot;00CD3979&quot;/&gt;&lt;wsp:rsid wsp:val=&quot;00CE31C4&quot;/&gt;&lt;wsp:rsid wsp:val=&quot;00CE3976&quot;/&gt;&lt;wsp:rsid wsp:val=&quot;00CE4063&quot;/&gt;&lt;wsp:rsid wsp:val=&quot;00CE5AE5&quot;/&gt;&lt;wsp:rsid wsp:val=&quot;00CE7871&quot;/&gt;&lt;wsp:rsid wsp:val=&quot;00CF2A7E&quot;/&gt;&lt;wsp:rsid wsp:val=&quot;00D047AB&quot;/&gt;&lt;wsp:rsid wsp:val=&quot;00D107CE&quot;/&gt;&lt;wsp:rsid wsp:val=&quot;00D1544F&quot;/&gt;&lt;wsp:rsid wsp:val=&quot;00D201F1&quot;/&gt;&lt;wsp:rsid wsp:val=&quot;00D237EE&quot;/&gt;&lt;wsp:rsid wsp:val=&quot;00D24ADD&quot;/&gt;&lt;wsp:rsid wsp:val=&quot;00D327A3&quot;/&gt;&lt;wsp:rsid wsp:val=&quot;00D33D11&quot;/&gt;&lt;wsp:rsid wsp:val=&quot;00D3436F&quot;/&gt;&lt;wsp:rsid wsp:val=&quot;00D350AA&quot;/&gt;&lt;wsp:rsid wsp:val=&quot;00D35783&quot;/&gt;&lt;wsp:rsid wsp:val=&quot;00D377AB&quot;/&gt;&lt;wsp:rsid wsp:val=&quot;00D45539&quot;/&gt;&lt;wsp:rsid wsp:val=&quot;00D45ABF&quot;/&gt;&lt;wsp:rsid wsp:val=&quot;00D46BEE&quot;/&gt;&lt;wsp:rsid wsp:val=&quot;00D50F3A&quot;/&gt;&lt;wsp:rsid wsp:val=&quot;00D56B03&quot;/&gt;&lt;wsp:rsid wsp:val=&quot;00D635A4&quot;/&gt;&lt;wsp:rsid wsp:val=&quot;00D731ED&quot;/&gt;&lt;wsp:rsid wsp:val=&quot;00D84206&quot;/&gt;&lt;wsp:rsid wsp:val=&quot;00D84D76&quot;/&gt;&lt;wsp:rsid wsp:val=&quot;00D850D2&quot;/&gt;&lt;wsp:rsid wsp:val=&quot;00D9144B&quot;/&gt;&lt;wsp:rsid wsp:val=&quot;00D9271D&quot;/&gt;&lt;wsp:rsid wsp:val=&quot;00D95303&quot;/&gt;&lt;wsp:rsid wsp:val=&quot;00D97684&quot;/&gt;&lt;wsp:rsid wsp:val=&quot;00DA06DC&quot;/&gt;&lt;wsp:rsid wsp:val=&quot;00DA415C&quot;/&gt;&lt;wsp:rsid wsp:val=&quot;00DA4965&quot;/&gt;&lt;wsp:rsid wsp:val=&quot;00DA670E&quot;/&gt;&lt;wsp:rsid wsp:val=&quot;00DB1229&quot;/&gt;&lt;wsp:rsid wsp:val=&quot;00DB193F&quot;/&gt;&lt;wsp:rsid wsp:val=&quot;00DB5340&quot;/&gt;&lt;wsp:rsid wsp:val=&quot;00DB7CF1&quot;/&gt;&lt;wsp:rsid wsp:val=&quot;00DC01D3&quot;/&gt;&lt;wsp:rsid wsp:val=&quot;00DC1E18&quot;/&gt;&lt;wsp:rsid wsp:val=&quot;00DC3FB7&quot;/&gt;&lt;wsp:rsid wsp:val=&quot;00DD6C9E&quot;/&gt;&lt;wsp:rsid wsp:val=&quot;00DE48E2&quot;/&gt;&lt;wsp:rsid wsp:val=&quot;00DF2149&quot;/&gt;&lt;wsp:rsid wsp:val=&quot;00DF45B9&quot;/&gt;&lt;wsp:rsid wsp:val=&quot;00DF7F51&quot;/&gt;&lt;wsp:rsid wsp:val=&quot;00E03A7C&quot;/&gt;&lt;wsp:rsid wsp:val=&quot;00E04352&quot;/&gt;&lt;wsp:rsid wsp:val=&quot;00E04B66&quot;/&gt;&lt;wsp:rsid wsp:val=&quot;00E05EE1&quot;/&gt;&lt;wsp:rsid wsp:val=&quot;00E13554&quot;/&gt;&lt;wsp:rsid wsp:val=&quot;00E17F3F&quot;/&gt;&lt;wsp:rsid wsp:val=&quot;00E20851&quot;/&gt;&lt;wsp:rsid wsp:val=&quot;00E231C3&quot;/&gt;&lt;wsp:rsid wsp:val=&quot;00E2579D&quot;/&gt;&lt;wsp:rsid wsp:val=&quot;00E37D53&quot;/&gt;&lt;wsp:rsid wsp:val=&quot;00E40B3B&quot;/&gt;&lt;wsp:rsid wsp:val=&quot;00E505ED&quot;/&gt;&lt;wsp:rsid wsp:val=&quot;00E60D35&quot;/&gt;&lt;wsp:rsid wsp:val=&quot;00E64551&quot;/&gt;&lt;wsp:rsid wsp:val=&quot;00E65962&quot;/&gt;&lt;wsp:rsid wsp:val=&quot;00E72CFB&quot;/&gt;&lt;wsp:rsid wsp:val=&quot;00E80C94&quot;/&gt;&lt;wsp:rsid wsp:val=&quot;00E9388C&quot;/&gt;&lt;wsp:rsid wsp:val=&quot;00E95D5E&quot;/&gt;&lt;wsp:rsid wsp:val=&quot;00EA117B&quot;/&gt;&lt;wsp:rsid wsp:val=&quot;00EA5E74&quot;/&gt;&lt;wsp:rsid wsp:val=&quot;00EA6230&quot;/&gt;&lt;wsp:rsid wsp:val=&quot;00EA7CB2&quot;/&gt;&lt;wsp:rsid wsp:val=&quot;00EA7DD8&quot;/&gt;&lt;wsp:rsid wsp:val=&quot;00EB2255&quot;/&gt;&lt;wsp:rsid wsp:val=&quot;00EB6B6C&quot;/&gt;&lt;wsp:rsid wsp:val=&quot;00ED266A&quot;/&gt;&lt;wsp:rsid wsp:val=&quot;00EE3FDC&quot;/&gt;&lt;wsp:rsid wsp:val=&quot;00EE49B8&quot;/&gt;&lt;wsp:rsid wsp:val=&quot;00EF2419&quot;/&gt;&lt;wsp:rsid wsp:val=&quot;00EF39B3&quot;/&gt;&lt;wsp:rsid wsp:val=&quot;00F041DC&quot;/&gt;&lt;wsp:rsid wsp:val=&quot;00F1235E&quot;/&gt;&lt;wsp:rsid wsp:val=&quot;00F1467A&quot;/&gt;&lt;wsp:rsid wsp:val=&quot;00F16B57&quot;/&gt;&lt;wsp:rsid wsp:val=&quot;00F26082&quot;/&gt;&lt;wsp:rsid wsp:val=&quot;00F328FC&quot;/&gt;&lt;wsp:rsid wsp:val=&quot;00F35C6B&quot;/&gt;&lt;wsp:rsid wsp:val=&quot;00F374B8&quot;/&gt;&lt;wsp:rsid wsp:val=&quot;00F41366&quot;/&gt;&lt;wsp:rsid wsp:val=&quot;00F44860&quot;/&gt;&lt;wsp:rsid wsp:val=&quot;00F61CFB&quot;/&gt;&lt;wsp:rsid wsp:val=&quot;00F73C9C&quot;/&gt;&lt;wsp:rsid wsp:val=&quot;00F83A83&quot;/&gt;&lt;wsp:rsid wsp:val=&quot;00F916E2&quot;/&gt;&lt;wsp:rsid wsp:val=&quot;00F92518&quot;/&gt;&lt;wsp:rsid wsp:val=&quot;00FA20B8&quot;/&gt;&lt;wsp:rsid wsp:val=&quot;00FA723E&quot;/&gt;&lt;wsp:rsid wsp:val=&quot;00FA78F1&quot;/&gt;&lt;wsp:rsid wsp:val=&quot;00FC6A86&quot;/&gt;&lt;wsp:rsid wsp:val=&quot;00FD4369&quot;/&gt;&lt;wsp:rsid wsp:val=&quot;00FE0335&quot;/&gt;&lt;wsp:rsid wsp:val=&quot;00FE5DAF&quot;/&gt;&lt;wsp:rsid wsp:val=&quot;00FF13D3&quot;/&gt;&lt;wsp:rsid wsp:val=&quot;00FF5FEB&quot;/&gt;&lt;wsp:rsid wsp:val=&quot;6D3624BC&quot;/&gt;&lt;/wsp:rsids&gt;&lt;/w:docPr&gt;&lt;w:body&gt;&lt;w:p wsp:rsidR=&quot;00000000&quot; wsp:rsidRDefault=&quot;0096710E&quot;&gt;&lt;m:oMathPara&gt;&lt;m:oMath&gt;&lt;m:r&gt;&lt;m:rPr&gt;&lt;m:sty m:val=&quot;p&quot;/&gt;&lt;/m:rPr&gt;&lt;w:rPr&gt;&lt;w:rFonts w:ascii=&quot;Cambria Math&quot;/&gt;&lt;w:color w:val=&quot;FF0000&quot;/&gt;&lt;/w:rPr&gt;&lt;m:t&gt;ξ&lt;/m:t&gt;&lt;/m:r&gt;&lt;m:r&gt;&lt;w:rPr&gt;&lt;w:rFonts w:ascii=&quot;&lt;&lt;&lt;&lt;&lt;&lt;&lt;&lt;&lt;&lt;&lt;&lt;&lt;&lt;&lt;&lt;&lt;&lt;&lt;&lt;&lt;&lt;&lt;&lt;Cawmbria Math&quot;/&gt;&lt;wx:font wx:val=&quot;Cambria Math&quot;/&gt;&lt;w:i/&gt;&lt;w:color w:val=&quot;FF0000&quot;/&gt;&lt;/w:rPr&gt;&lt;m:t&gt;&amp;gt;&lt;/m:t&gt;&lt;/m:r&gt;&lt;m:sSub&gt;&lt;m:sSubPr&gt;&lt;m:ctrlPr&gt;&lt;w:rPr&gt;&lt;w:rFonts w:ascii=&quot;Cambria Math&quot; w:h-ansi=&quot;Cambria Math&quot;/&gt;&lt;wx:font wx:val=&quot;Cambria Math&quot;/&gt;&lt;w:color w:val=&quot;FF0000&quot;/&gt;&lt;/w:rPr&gt;&lt;/m:ctrlPr&gt;&lt;/m:sSubPr&gt;&lt;m:e&gt;&lt;m:r&gt;&lt;m:rPr&gt;&lt;m:sty m:val=&quot;p&quot;/&gt;&lt;/m:rPr&gt;&lt;w:rPr&gt;&lt;w:rFonts w:ascii=&quot;Cambria Math&quot;/&gt;&lt;w:color w:val=&quot;FF0000&quot;/&gt;&lt;/w:rPr&gt;&lt;m:t&gt;ξ&lt;/m:t&gt;&lt;/m:r&gt;&lt;/m:e&gt;&lt;m:sub&gt;&lt;m:r&gt;&lt;m:rPr&gt;&lt;m:sty m:val=&quot;p&quot;/&gt;&lt;/m:rPr&gt;&lt;w:rPr&gt;&lt;w:rF/o&gt;n&lt;tws: cwo:laosrc iwi:=v&quot;aCla=m&quot;bFrFi0a0 0M0ath&gt;&quot;/&gt;&lt;wx:font wx:val=&quot;Cambria Math&quot;/&gt;&lt;w:color w:val=&quot;FF0000&quot;/&gt;&lt;/w:rPr&gt;&lt;m:t&gt;b&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127" chromakey="#FFFFFF" o:title=""/>
            <o:lock v:ext="edit" aspectratio="t"/>
            <w10:wrap type="none"/>
            <w10:anchorlock/>
          </v:shape>
        </w:pict>
      </w:r>
      <w:r>
        <w:instrText xml:space="preserve"> </w:instrText>
      </w:r>
      <w:r>
        <w:fldChar w:fldCharType="end"/>
      </w:r>
      <w:r>
        <w:rPr>
          <w:position w:val="-10"/>
        </w:rPr>
        <w:object>
          <v:shape id="_x0000_i1083" o:spt="75" type="#_x0000_t75" style="height:19.9pt;width:36pt;" o:ole="t" filled="f" o:preferrelative="t" stroked="f" coordsize="21600,21600">
            <v:path/>
            <v:fill on="f" focussize="0,0"/>
            <v:stroke on="f" joinstyle="miter"/>
            <v:imagedata r:id="rId129" o:title=""/>
            <o:lock v:ext="edit" aspectratio="t"/>
            <w10:wrap type="none"/>
            <w10:anchorlock/>
          </v:shape>
          <o:OLEObject Type="Embed" ProgID="Equation.DSMT4" ShapeID="_x0000_i1083" DrawAspect="Content" ObjectID="_1468075782" r:id="rId128">
            <o:LockedField>false</o:LockedField>
          </o:OLEObject>
        </w:object>
      </w:r>
      <w:r>
        <w:t>时</w:t>
      </w:r>
      <w:bookmarkEnd w:id="382"/>
      <w:bookmarkEnd w:id="383"/>
      <w:bookmarkEnd w:id="384"/>
      <w:bookmarkEnd w:id="385"/>
      <w:bookmarkEnd w:id="386"/>
      <w:bookmarkEnd w:id="387"/>
      <w:bookmarkEnd w:id="388"/>
    </w:p>
    <w:p w14:paraId="60EB933D">
      <w:pPr>
        <w:wordWrap w:val="0"/>
        <w:spacing w:after="312" w:line="312" w:lineRule="auto"/>
        <w:ind w:firstLine="480"/>
        <w:jc w:val="right"/>
        <w:rPr>
          <w:rFonts w:cs="Times New Roman"/>
          <w:position w:val="-14"/>
          <w:sz w:val="24"/>
          <w:szCs w:val="24"/>
        </w:rPr>
      </w:pPr>
      <w:bookmarkStart w:id="389" w:name="_Toc19545241"/>
      <w:bookmarkStart w:id="390" w:name="_Toc19545511"/>
      <w:bookmarkStart w:id="391" w:name="_Toc25690888"/>
      <w:bookmarkStart w:id="392" w:name="_Toc25690617"/>
      <w:bookmarkStart w:id="393" w:name="_Toc25070659"/>
      <w:bookmarkStart w:id="394" w:name="_Toc25070357"/>
      <w:bookmarkStart w:id="395" w:name="_Toc10207174"/>
      <w:r>
        <w:rPr>
          <w:rFonts w:cs="Times New Roman"/>
          <w:position w:val="-10"/>
          <w:sz w:val="24"/>
          <w:szCs w:val="24"/>
        </w:rPr>
        <w:object>
          <v:shape id="_x0000_i1084" o:spt="75" type="#_x0000_t75" style="height:19.9pt;width:94.55pt;" o:ole="t" filled="f" o:preferrelative="t" stroked="f" coordsize="21600,21600">
            <v:path/>
            <v:fill on="f" focussize="0,0"/>
            <v:stroke on="f" joinstyle="miter"/>
            <v:imagedata r:id="rId131" o:title=""/>
            <o:lock v:ext="edit" aspectratio="t"/>
            <w10:wrap type="none"/>
            <w10:anchorlock/>
          </v:shape>
          <o:OLEObject Type="Embed" ProgID="Equation.DSMT4" ShapeID="_x0000_i1084" DrawAspect="Content" ObjectID="_1468075783" r:id="rId130">
            <o:LockedField>false</o:LockedField>
          </o:OLEObject>
        </w:object>
      </w:r>
      <w:r>
        <w:rPr>
          <w:rFonts w:cs="Times New Roman"/>
          <w:sz w:val="24"/>
          <w:szCs w:val="24"/>
        </w:rPr>
        <w:t xml:space="preserve">             </w:t>
      </w:r>
      <w:r>
        <w:rPr>
          <w:rFonts w:cs="Times New Roman"/>
          <w:sz w:val="28"/>
          <w:szCs w:val="28"/>
        </w:rPr>
        <w:t>（5.2.2-</w:t>
      </w:r>
      <w:r>
        <w:rPr>
          <w:rFonts w:hint="eastAsia" w:cs="Times New Roman"/>
          <w:sz w:val="28"/>
          <w:szCs w:val="28"/>
        </w:rPr>
        <w:t>6</w:t>
      </w:r>
      <w:r>
        <w:rPr>
          <w:rFonts w:cs="Times New Roman"/>
          <w:sz w:val="28"/>
          <w:szCs w:val="28"/>
        </w:rPr>
        <w:t>）</w:t>
      </w:r>
      <w:bookmarkEnd w:id="389"/>
      <w:bookmarkEnd w:id="390"/>
      <w:bookmarkEnd w:id="391"/>
      <w:bookmarkEnd w:id="392"/>
      <w:bookmarkEnd w:id="393"/>
      <w:bookmarkEnd w:id="394"/>
      <w:bookmarkEnd w:id="395"/>
    </w:p>
    <w:p w14:paraId="487C843E">
      <w:pPr>
        <w:wordWrap w:val="0"/>
        <w:spacing w:after="312" w:line="312" w:lineRule="auto"/>
        <w:ind w:firstLine="480"/>
        <w:jc w:val="right"/>
        <w:rPr>
          <w:rFonts w:cs="Times New Roman"/>
          <w:sz w:val="24"/>
          <w:szCs w:val="24"/>
        </w:rPr>
      </w:pPr>
      <w:bookmarkStart w:id="396" w:name="_Toc25690889"/>
      <w:bookmarkStart w:id="397" w:name="_Toc25070358"/>
      <w:bookmarkStart w:id="398" w:name="_Toc19545512"/>
      <w:bookmarkStart w:id="399" w:name="_Toc25690618"/>
      <w:bookmarkStart w:id="400" w:name="_Toc10207175"/>
      <w:bookmarkStart w:id="401" w:name="_Toc25070660"/>
      <w:bookmarkStart w:id="402" w:name="_Toc19545242"/>
      <w:r>
        <w:rPr>
          <w:rFonts w:cs="Times New Roman"/>
          <w:position w:val="-14"/>
          <w:sz w:val="24"/>
          <w:szCs w:val="24"/>
        </w:rPr>
        <w:object>
          <v:shape id="_x0000_i1085" o:spt="75" type="#_x0000_t75" style="height:23.65pt;width:85.45pt;" o:ole="t" filled="f" o:preferrelative="t" stroked="f" coordsize="21600,21600">
            <v:path/>
            <v:fill on="f" focussize="0,0"/>
            <v:stroke on="f" joinstyle="miter"/>
            <v:imagedata r:id="rId133" o:title=""/>
            <o:lock v:ext="edit" aspectratio="t"/>
            <w10:wrap type="none"/>
            <w10:anchorlock/>
          </v:shape>
          <o:OLEObject Type="Embed" ProgID="Equation.DSMT4" ShapeID="_x0000_i1085" DrawAspect="Content" ObjectID="_1468075784" r:id="rId132">
            <o:LockedField>false</o:LockedField>
          </o:OLEObject>
        </w:object>
      </w:r>
      <w:r>
        <w:rPr>
          <w:rFonts w:cs="Times New Roman"/>
          <w:sz w:val="24"/>
          <w:szCs w:val="24"/>
        </w:rPr>
        <w:t xml:space="preserve">              </w:t>
      </w:r>
      <w:r>
        <w:rPr>
          <w:rFonts w:cs="Times New Roman"/>
          <w:sz w:val="28"/>
          <w:szCs w:val="28"/>
        </w:rPr>
        <w:t>（5.2.2-</w:t>
      </w:r>
      <w:r>
        <w:rPr>
          <w:rFonts w:hint="eastAsia" w:cs="Times New Roman"/>
          <w:sz w:val="28"/>
          <w:szCs w:val="28"/>
        </w:rPr>
        <w:t>7</w:t>
      </w:r>
      <w:r>
        <w:rPr>
          <w:rFonts w:cs="Times New Roman"/>
          <w:sz w:val="28"/>
          <w:szCs w:val="28"/>
        </w:rPr>
        <w:t>）</w:t>
      </w:r>
      <w:bookmarkEnd w:id="396"/>
      <w:bookmarkEnd w:id="397"/>
      <w:bookmarkEnd w:id="398"/>
      <w:bookmarkEnd w:id="399"/>
      <w:bookmarkEnd w:id="400"/>
      <w:bookmarkEnd w:id="401"/>
      <w:bookmarkEnd w:id="402"/>
    </w:p>
    <w:p w14:paraId="6BEA2CBE">
      <w:pPr>
        <w:ind w:firstLine="420"/>
      </w:pPr>
      <w:bookmarkStart w:id="403" w:name="_Toc25690890"/>
      <w:bookmarkStart w:id="404" w:name="_Toc19545243"/>
      <w:bookmarkStart w:id="405" w:name="_Toc10207176"/>
      <w:bookmarkStart w:id="406" w:name="_Toc25070661"/>
      <w:bookmarkStart w:id="407" w:name="_Toc19545513"/>
      <w:bookmarkStart w:id="408" w:name="_Toc25690619"/>
      <w:bookmarkStart w:id="409" w:name="_Toc25070359"/>
      <w:r>
        <w:t>2）当</w:t>
      </w:r>
      <w:r>
        <w:object>
          <v:shape id="_x0000_i1086" o:spt="75" type="#_x0000_t75" style="height:16.65pt;width:43.5pt;" o:ole="t" filled="f" o:preferrelative="t" stroked="f" coordsize="21600,21600">
            <v:path/>
            <v:fill on="f" focussize="0,0"/>
            <v:stroke on="f" joinstyle="miter"/>
            <v:imagedata r:id="rId135" cropright="-1445f" cropbottom="8568f" o:title=""/>
            <o:lock v:ext="edit" aspectratio="t"/>
            <w10:wrap type="none"/>
            <w10:anchorlock/>
          </v:shape>
          <o:OLEObject Type="Embed" ProgID="Equation.DSMT4" ShapeID="_x0000_i1086" DrawAspect="Content" ObjectID="_1468075785" r:id="rId134">
            <o:LockedField>false</o:LockedField>
          </o:OLEObject>
        </w:object>
      </w:r>
      <w:r>
        <w:t>时</w:t>
      </w:r>
      <w:bookmarkEnd w:id="403"/>
      <w:bookmarkEnd w:id="404"/>
      <w:bookmarkEnd w:id="405"/>
      <w:bookmarkEnd w:id="406"/>
      <w:bookmarkEnd w:id="407"/>
      <w:bookmarkEnd w:id="408"/>
      <w:bookmarkEnd w:id="409"/>
    </w:p>
    <w:p w14:paraId="11C35649">
      <w:pPr>
        <w:wordWrap w:val="0"/>
        <w:spacing w:after="312" w:line="312" w:lineRule="auto"/>
        <w:ind w:firstLine="420"/>
        <w:jc w:val="right"/>
        <w:rPr>
          <w:rFonts w:cs="Times New Roman"/>
        </w:rPr>
      </w:pPr>
      <w:bookmarkStart w:id="410" w:name="_Toc19545244"/>
      <w:bookmarkStart w:id="411" w:name="_Toc25070662"/>
      <w:bookmarkStart w:id="412" w:name="_Toc19545514"/>
      <w:bookmarkStart w:id="413" w:name="_Toc25690620"/>
      <w:bookmarkStart w:id="414" w:name="_Toc10207177"/>
      <w:bookmarkStart w:id="415" w:name="_Toc25690891"/>
      <w:bookmarkStart w:id="416" w:name="_Toc25070360"/>
      <w:r>
        <w:rPr>
          <w:rFonts w:cs="Times New Roman"/>
          <w:position w:val="-14"/>
        </w:rPr>
        <w:object>
          <v:shape id="_x0000_i1087" o:spt="75" type="#_x0000_t75" style="height:20.95pt;width:34.4pt;" o:ole="t" filled="f" o:preferrelative="t" stroked="f" coordsize="21600,21600">
            <v:path/>
            <v:fill on="f" focussize="0,0"/>
            <v:stroke on="f" joinstyle="miter"/>
            <v:imagedata r:id="rId137" o:title=""/>
            <o:lock v:ext="edit" aspectratio="t"/>
            <w10:wrap type="none"/>
            <w10:anchorlock/>
          </v:shape>
          <o:OLEObject Type="Embed" ProgID="Equation.DSMT4" ShapeID="_x0000_i1087" DrawAspect="Content" ObjectID="_1468075786" r:id="rId136">
            <o:LockedField>false</o:LockedField>
          </o:OLEObject>
        </w:object>
      </w:r>
      <w:r>
        <w:rPr>
          <w:rFonts w:cs="Times New Roman"/>
        </w:rPr>
        <w:t xml:space="preserve">                      </w:t>
      </w:r>
      <w:r>
        <w:rPr>
          <w:rFonts w:cs="Times New Roman"/>
          <w:sz w:val="28"/>
          <w:szCs w:val="28"/>
        </w:rPr>
        <w:t>（5.2.2-</w:t>
      </w:r>
      <w:r>
        <w:rPr>
          <w:rFonts w:hint="eastAsia" w:cs="Times New Roman"/>
          <w:sz w:val="28"/>
          <w:szCs w:val="28"/>
        </w:rPr>
        <w:t>8</w:t>
      </w:r>
      <w:r>
        <w:rPr>
          <w:rFonts w:cs="Times New Roman"/>
          <w:sz w:val="28"/>
          <w:szCs w:val="28"/>
        </w:rPr>
        <w:t>）</w:t>
      </w:r>
      <w:bookmarkEnd w:id="410"/>
      <w:bookmarkEnd w:id="411"/>
      <w:bookmarkEnd w:id="412"/>
      <w:bookmarkEnd w:id="413"/>
      <w:bookmarkEnd w:id="414"/>
      <w:bookmarkEnd w:id="415"/>
      <w:bookmarkEnd w:id="416"/>
    </w:p>
    <w:p w14:paraId="0DD1D94F">
      <w:pPr>
        <w:pStyle w:val="10"/>
        <w:spacing w:after="312"/>
        <w:ind w:firstLine="480"/>
        <w:jc w:val="right"/>
        <w:rPr>
          <w:rFonts w:cs="Times New Roman"/>
          <w:sz w:val="28"/>
          <w:szCs w:val="28"/>
        </w:rPr>
      </w:pPr>
      <w:bookmarkStart w:id="417" w:name="_Toc10207178"/>
      <w:bookmarkStart w:id="418" w:name="_Toc19545245"/>
      <w:bookmarkStart w:id="419" w:name="_Toc25070663"/>
      <w:bookmarkStart w:id="420" w:name="_Toc19545515"/>
      <w:bookmarkStart w:id="421" w:name="_Toc25690892"/>
      <w:bookmarkStart w:id="422" w:name="_Toc25690621"/>
      <w:bookmarkStart w:id="423" w:name="_Toc25070361"/>
      <w:r>
        <w:rPr>
          <w:rFonts w:cs="Times New Roman"/>
          <w:position w:val="-10"/>
        </w:rPr>
        <w:object>
          <v:shape id="_x0000_i1088" o:spt="75" type="#_x0000_t75" style="height:23.65pt;width:62.85pt;" o:ole="t" filled="f" o:preferrelative="t" stroked="f" coordsize="21600,21600">
            <v:path/>
            <v:fill on="f" focussize="0,0"/>
            <v:stroke on="f" joinstyle="miter"/>
            <v:imagedata r:id="rId139" o:title=""/>
            <o:lock v:ext="edit" aspectratio="t"/>
            <w10:wrap type="none"/>
            <w10:anchorlock/>
          </v:shape>
          <o:OLEObject Type="Embed" ProgID="Equation.DSMT4" ShapeID="_x0000_i1088" DrawAspect="Content" ObjectID="_1468075787" r:id="rId138">
            <o:LockedField>false</o:LockedField>
          </o:OLEObject>
        </w:object>
      </w:r>
      <w:r>
        <w:rPr>
          <w:rFonts w:cs="Times New Roman"/>
        </w:rPr>
        <w:t xml:space="preserve">                </w:t>
      </w:r>
      <w:r>
        <w:rPr>
          <w:rFonts w:cs="Times New Roman"/>
          <w:sz w:val="28"/>
          <w:szCs w:val="28"/>
        </w:rPr>
        <w:t>（5.2.2-</w:t>
      </w:r>
      <w:r>
        <w:rPr>
          <w:rFonts w:hint="eastAsia" w:cs="Times New Roman"/>
          <w:sz w:val="28"/>
          <w:szCs w:val="28"/>
        </w:rPr>
        <w:t>9</w:t>
      </w:r>
      <w:r>
        <w:rPr>
          <w:rFonts w:cs="Times New Roman"/>
          <w:sz w:val="28"/>
          <w:szCs w:val="28"/>
        </w:rPr>
        <w:t>）</w:t>
      </w:r>
      <w:bookmarkEnd w:id="417"/>
      <w:bookmarkEnd w:id="418"/>
      <w:bookmarkEnd w:id="419"/>
      <w:bookmarkEnd w:id="420"/>
      <w:bookmarkEnd w:id="421"/>
      <w:bookmarkEnd w:id="422"/>
      <w:bookmarkEnd w:id="423"/>
    </w:p>
    <w:tbl>
      <w:tblPr>
        <w:tblStyle w:val="28"/>
        <w:tblW w:w="7934" w:type="dxa"/>
        <w:tblInd w:w="108" w:type="dxa"/>
        <w:tblLayout w:type="fixed"/>
        <w:tblCellMar>
          <w:top w:w="0" w:type="dxa"/>
          <w:left w:w="108" w:type="dxa"/>
          <w:bottom w:w="0" w:type="dxa"/>
          <w:right w:w="108" w:type="dxa"/>
        </w:tblCellMar>
      </w:tblPr>
      <w:tblGrid>
        <w:gridCol w:w="1481"/>
        <w:gridCol w:w="6453"/>
      </w:tblGrid>
      <w:tr w14:paraId="4E6E860F">
        <w:tblPrEx>
          <w:tblCellMar>
            <w:top w:w="0" w:type="dxa"/>
            <w:left w:w="108" w:type="dxa"/>
            <w:bottom w:w="0" w:type="dxa"/>
            <w:right w:w="108" w:type="dxa"/>
          </w:tblCellMar>
        </w:tblPrEx>
        <w:tc>
          <w:tcPr>
            <w:tcW w:w="1481" w:type="dxa"/>
            <w:vAlign w:val="center"/>
          </w:tcPr>
          <w:p w14:paraId="468A544F">
            <w:pPr>
              <w:pStyle w:val="55"/>
              <w:spacing w:before="31" w:after="31"/>
            </w:pPr>
            <w:bookmarkStart w:id="424" w:name="_Toc19545516"/>
            <w:bookmarkStart w:id="425" w:name="_Toc19545246"/>
            <w:bookmarkStart w:id="426" w:name="_Toc25070664"/>
            <w:bookmarkStart w:id="427" w:name="_Toc10207179"/>
            <w:bookmarkStart w:id="428" w:name="_Toc25070362"/>
            <w:bookmarkStart w:id="429" w:name="_Toc25690622"/>
            <w:bookmarkStart w:id="430" w:name="_Toc25690893"/>
            <w:r>
              <w:t>式中：</w:t>
            </w:r>
          </w:p>
        </w:tc>
        <w:tc>
          <w:tcPr>
            <w:tcW w:w="6453" w:type="dxa"/>
            <w:tcMar>
              <w:left w:w="0" w:type="dxa"/>
            </w:tcMar>
            <w:vAlign w:val="center"/>
          </w:tcPr>
          <w:p w14:paraId="43D145C6">
            <w:pPr>
              <w:pStyle w:val="55"/>
              <w:spacing w:before="31" w:after="31"/>
            </w:pPr>
          </w:p>
        </w:tc>
      </w:tr>
      <w:tr w14:paraId="6505383B">
        <w:tblPrEx>
          <w:tblCellMar>
            <w:top w:w="0" w:type="dxa"/>
            <w:left w:w="108" w:type="dxa"/>
            <w:bottom w:w="0" w:type="dxa"/>
            <w:right w:w="108" w:type="dxa"/>
          </w:tblCellMar>
        </w:tblPrEx>
        <w:tc>
          <w:tcPr>
            <w:tcW w:w="1481" w:type="dxa"/>
          </w:tcPr>
          <w:p w14:paraId="0119D215">
            <w:pPr>
              <w:pStyle w:val="55"/>
              <w:spacing w:before="31" w:after="31"/>
            </w:pPr>
            <w:r>
              <w:rPr>
                <w:position w:val="-10"/>
              </w:rPr>
              <w:object>
                <v:shape id="_x0000_i1089" o:spt="75" type="#_x0000_t75" style="height:19.9pt;width:16.1pt;" o:ole="t" filled="f" o:preferrelative="t" stroked="f" coordsize="21600,21600">
                  <v:path/>
                  <v:fill on="f" focussize="0,0"/>
                  <v:stroke on="f" joinstyle="miter"/>
                  <v:imagedata r:id="rId141" o:title=""/>
                  <o:lock v:ext="edit" aspectratio="t"/>
                  <w10:wrap type="none"/>
                  <w10:anchorlock/>
                </v:shape>
                <o:OLEObject Type="Embed" ProgID="Equation.DSMT4" ShapeID="_x0000_i1089" DrawAspect="Content" ObjectID="_1468075788" r:id="rId140">
                  <o:LockedField>false</o:LockedField>
                </o:OLEObject>
              </w:object>
            </w:r>
            <w:r>
              <w:t>——</w:t>
            </w:r>
          </w:p>
        </w:tc>
        <w:tc>
          <w:tcPr>
            <w:tcW w:w="6453" w:type="dxa"/>
            <w:tcMar>
              <w:left w:w="0" w:type="dxa"/>
            </w:tcMar>
            <w:vAlign w:val="center"/>
          </w:tcPr>
          <w:p w14:paraId="569D20EE">
            <w:pPr>
              <w:pStyle w:val="55"/>
              <w:spacing w:before="31" w:after="31"/>
              <w:jc w:val="left"/>
            </w:pPr>
            <w:r>
              <w:rPr>
                <w:rFonts w:hint="eastAsia"/>
              </w:rPr>
              <w:t>截面受压区相对高度</w:t>
            </w:r>
            <w:r>
              <w:t>；</w:t>
            </w:r>
          </w:p>
        </w:tc>
      </w:tr>
      <w:tr w14:paraId="307AB850">
        <w:tblPrEx>
          <w:tblCellMar>
            <w:top w:w="0" w:type="dxa"/>
            <w:left w:w="108" w:type="dxa"/>
            <w:bottom w:w="0" w:type="dxa"/>
            <w:right w:w="108" w:type="dxa"/>
          </w:tblCellMar>
        </w:tblPrEx>
        <w:trPr>
          <w:trHeight w:val="887" w:hRule="atLeast"/>
        </w:trPr>
        <w:tc>
          <w:tcPr>
            <w:tcW w:w="1481" w:type="dxa"/>
          </w:tcPr>
          <w:p w14:paraId="144B18B6">
            <w:pPr>
              <w:pStyle w:val="55"/>
              <w:spacing w:before="31" w:after="31"/>
              <w:rPr>
                <w:position w:val="-10"/>
              </w:rPr>
            </w:pPr>
            <w:r>
              <w:rPr>
                <w:position w:val="-10"/>
              </w:rPr>
              <w:object>
                <v:shape id="_x0000_i1090" o:spt="75" type="#_x0000_t75" style="height:19.9pt;width:19.9pt;" o:ole="t" filled="f" o:preferrelative="t" stroked="f" coordsize="21600,21600">
                  <v:path/>
                  <v:fill on="f" focussize="0,0"/>
                  <v:stroke on="f" joinstyle="miter"/>
                  <v:imagedata r:id="rId143" o:title=""/>
                  <o:lock v:ext="edit" aspectratio="t"/>
                  <w10:wrap type="none"/>
                  <w10:anchorlock/>
                </v:shape>
                <o:OLEObject Type="Embed" ProgID="Equation.DSMT4" ShapeID="_x0000_i1090" DrawAspect="Content" ObjectID="_1468075789" r:id="rId142">
                  <o:LockedField>false</o:LockedField>
                </o:OLEObject>
              </w:object>
            </w:r>
            <w:r>
              <w:t>——</w:t>
            </w:r>
          </w:p>
        </w:tc>
        <w:tc>
          <w:tcPr>
            <w:tcW w:w="6453" w:type="dxa"/>
            <w:tcMar>
              <w:left w:w="0" w:type="dxa"/>
            </w:tcMar>
            <w:vAlign w:val="center"/>
          </w:tcPr>
          <w:p w14:paraId="1FFFB976">
            <w:pPr>
              <w:pStyle w:val="55"/>
              <w:spacing w:before="31" w:after="31"/>
              <w:jc w:val="left"/>
            </w:pPr>
            <w:r>
              <w:t>加固后截面受压区相对高度的界限值，对HPB300级钢筋，取0.47；对HRB400级钢筋，取0.36；</w:t>
            </w:r>
          </w:p>
        </w:tc>
      </w:tr>
      <w:tr w14:paraId="1780C99D">
        <w:tblPrEx>
          <w:tblCellMar>
            <w:top w:w="0" w:type="dxa"/>
            <w:left w:w="108" w:type="dxa"/>
            <w:bottom w:w="0" w:type="dxa"/>
            <w:right w:w="108" w:type="dxa"/>
          </w:tblCellMar>
        </w:tblPrEx>
        <w:trPr>
          <w:trHeight w:val="440" w:hRule="atLeast"/>
        </w:trPr>
        <w:tc>
          <w:tcPr>
            <w:tcW w:w="1481" w:type="dxa"/>
          </w:tcPr>
          <w:p w14:paraId="6EFDA3BC">
            <w:pPr>
              <w:pStyle w:val="55"/>
              <w:spacing w:before="31" w:after="31"/>
            </w:pPr>
            <w:r>
              <w:object>
                <v:shape id="_x0000_i1091" o:spt="75" type="#_x0000_t75" style="height:13.45pt;width:12.35pt;" o:ole="t" filled="f" o:preferrelative="t" stroked="f" coordsize="21600,21600">
                  <v:path/>
                  <v:fill on="f" focussize="0,0"/>
                  <v:stroke on="f" joinstyle="miter"/>
                  <v:imagedata r:id="rId145" o:title=""/>
                  <o:lock v:ext="edit" aspectratio="t"/>
                  <w10:wrap type="none"/>
                  <w10:anchorlock/>
                </v:shape>
                <o:OLEObject Type="Embed" ProgID="Equation.DSMT4" ShapeID="_x0000_i1091" DrawAspect="Content" ObjectID="_1468075790" r:id="rId144">
                  <o:LockedField>false</o:LockedField>
                </o:OLEObject>
              </w:object>
            </w:r>
            <w:r>
              <w:t>——</w:t>
            </w:r>
          </w:p>
        </w:tc>
        <w:tc>
          <w:tcPr>
            <w:tcW w:w="6453" w:type="dxa"/>
            <w:tcMar>
              <w:left w:w="0" w:type="dxa"/>
            </w:tcMar>
          </w:tcPr>
          <w:p w14:paraId="137F58DD">
            <w:pPr>
              <w:pStyle w:val="55"/>
              <w:spacing w:before="31" w:after="31"/>
              <w:jc w:val="left"/>
            </w:pPr>
            <w:r>
              <w:t>截面受压区高度</w:t>
            </w:r>
            <w:r>
              <w:rPr>
                <w:rFonts w:hint="eastAsia"/>
              </w:rPr>
              <w:t>；</w:t>
            </w:r>
          </w:p>
        </w:tc>
      </w:tr>
    </w:tbl>
    <w:p w14:paraId="42C34FC5">
      <w:pPr>
        <w:ind w:firstLine="422"/>
      </w:pPr>
      <w:r>
        <w:rPr>
          <w:rFonts w:hint="eastAsia" w:cs="Times New Roman"/>
          <w:b/>
          <w:bCs/>
        </w:rPr>
        <w:t xml:space="preserve">2  </w:t>
      </w:r>
      <w:r>
        <w:rPr>
          <w:rFonts w:cs="Times New Roman"/>
        </w:rPr>
        <w:t>截面受压区</w:t>
      </w:r>
      <w:r>
        <w:t>高度</w:t>
      </w:r>
      <w:r>
        <w:object>
          <v:shape id="_x0000_i1092" o:spt="75" type="#_x0000_t75" style="height:13.45pt;width:12.35pt;" o:ole="t" filled="f" o:preferrelative="t" stroked="f" coordsize="21600,21600">
            <v:path/>
            <v:fill on="f" focussize="0,0"/>
            <v:stroke on="f" joinstyle="miter"/>
            <v:imagedata r:id="rId145" o:title=""/>
            <o:lock v:ext="edit" aspectratio="t"/>
            <w10:wrap type="none"/>
            <w10:anchorlock/>
          </v:shape>
          <o:OLEObject Type="Embed" ProgID="Equation.DSMT4" ShapeID="_x0000_i1092" DrawAspect="Content" ObjectID="_1468075791" r:id="rId146">
            <o:LockedField>false</o:LockedField>
          </o:OLEObject>
        </w:object>
      </w:r>
      <w:bookmarkEnd w:id="424"/>
      <w:bookmarkEnd w:id="425"/>
      <w:bookmarkEnd w:id="426"/>
      <w:bookmarkEnd w:id="427"/>
      <w:bookmarkEnd w:id="428"/>
      <w:bookmarkEnd w:id="429"/>
      <w:bookmarkEnd w:id="430"/>
      <w:r>
        <w:rPr>
          <w:rFonts w:cs="Times New Roman"/>
        </w:rPr>
        <w:t>应</w:t>
      </w:r>
      <w:r>
        <w:rPr>
          <w:rFonts w:hint="eastAsia" w:cs="Times New Roman"/>
        </w:rPr>
        <w:t>符合</w:t>
      </w:r>
      <w:r>
        <w:rPr>
          <w:rFonts w:cs="Times New Roman"/>
        </w:rPr>
        <w:t>下列规定：</w:t>
      </w:r>
    </w:p>
    <w:p w14:paraId="59D81A32">
      <w:pPr>
        <w:wordWrap w:val="0"/>
        <w:spacing w:after="312" w:line="312" w:lineRule="auto"/>
        <w:ind w:firstLine="480"/>
        <w:jc w:val="right"/>
        <w:rPr>
          <w:position w:val="-14"/>
          <w:sz w:val="24"/>
          <w:szCs w:val="24"/>
        </w:rPr>
      </w:pPr>
      <w:bookmarkStart w:id="431" w:name="_Toc10207180"/>
      <w:bookmarkStart w:id="432" w:name="_Toc19545517"/>
      <w:bookmarkStart w:id="433" w:name="_Toc25690894"/>
      <w:bookmarkStart w:id="434" w:name="_Toc25070363"/>
      <w:bookmarkStart w:id="435" w:name="_Toc19545247"/>
      <w:bookmarkStart w:id="436" w:name="_Toc25070665"/>
      <w:bookmarkStart w:id="437" w:name="_Toc25690623"/>
      <w:r>
        <w:rPr>
          <w:position w:val="-14"/>
          <w:sz w:val="24"/>
          <w:szCs w:val="24"/>
        </w:rPr>
        <w:pict>
          <v:shape id="_x0000_i1093" o:spt="75" type="#_x0000_t75" style="height:22.55pt;width:252pt;" filled="f" o:preferrelative="t" stroked="f" coordsize="21600,21600">
            <v:path/>
            <v:fill on="f" focussize="0,0"/>
            <v:stroke on="f" joinstyle="miter"/>
            <v:imagedata r:id="rId147" o:title=""/>
            <o:lock v:ext="edit" aspectratio="f"/>
            <w10:wrap type="none"/>
            <w10:anchorlock/>
          </v:shape>
        </w:pict>
      </w:r>
      <w:r>
        <w:rPr>
          <w:rFonts w:hint="eastAsia"/>
          <w:sz w:val="24"/>
          <w:szCs w:val="24"/>
        </w:rPr>
        <w:t xml:space="preserve">   </w:t>
      </w:r>
      <w:r>
        <w:rPr>
          <w:sz w:val="24"/>
          <w:szCs w:val="24"/>
        </w:rPr>
        <w:t xml:space="preserve"> </w:t>
      </w:r>
      <w:r>
        <w:rPr>
          <w:rFonts w:cs="Times New Roman"/>
          <w:sz w:val="28"/>
          <w:szCs w:val="28"/>
        </w:rPr>
        <w:t>（5.2.2-</w:t>
      </w:r>
      <w:r>
        <w:rPr>
          <w:rFonts w:hint="eastAsia" w:cs="Times New Roman"/>
          <w:sz w:val="28"/>
          <w:szCs w:val="28"/>
        </w:rPr>
        <w:t>10</w:t>
      </w:r>
      <w:r>
        <w:rPr>
          <w:rFonts w:cs="Times New Roman"/>
          <w:sz w:val="28"/>
          <w:szCs w:val="28"/>
        </w:rPr>
        <w:t>）</w:t>
      </w:r>
      <w:bookmarkEnd w:id="431"/>
      <w:bookmarkEnd w:id="432"/>
      <w:bookmarkEnd w:id="433"/>
      <w:bookmarkEnd w:id="434"/>
      <w:bookmarkEnd w:id="435"/>
      <w:bookmarkEnd w:id="436"/>
      <w:bookmarkEnd w:id="437"/>
    </w:p>
    <w:tbl>
      <w:tblPr>
        <w:tblStyle w:val="28"/>
        <w:tblW w:w="7934" w:type="dxa"/>
        <w:tblInd w:w="108" w:type="dxa"/>
        <w:tblLayout w:type="fixed"/>
        <w:tblCellMar>
          <w:top w:w="0" w:type="dxa"/>
          <w:left w:w="108" w:type="dxa"/>
          <w:bottom w:w="0" w:type="dxa"/>
          <w:right w:w="108" w:type="dxa"/>
        </w:tblCellMar>
      </w:tblPr>
      <w:tblGrid>
        <w:gridCol w:w="1481"/>
        <w:gridCol w:w="6453"/>
      </w:tblGrid>
      <w:tr w14:paraId="487F6CB8">
        <w:tblPrEx>
          <w:tblCellMar>
            <w:top w:w="0" w:type="dxa"/>
            <w:left w:w="108" w:type="dxa"/>
            <w:bottom w:w="0" w:type="dxa"/>
            <w:right w:w="108" w:type="dxa"/>
          </w:tblCellMar>
        </w:tblPrEx>
        <w:tc>
          <w:tcPr>
            <w:tcW w:w="1481" w:type="dxa"/>
          </w:tcPr>
          <w:p w14:paraId="5271E401">
            <w:pPr>
              <w:pStyle w:val="55"/>
              <w:spacing w:before="31" w:after="31"/>
            </w:pPr>
            <w:r>
              <w:t>式中：</w:t>
            </w:r>
          </w:p>
        </w:tc>
        <w:tc>
          <w:tcPr>
            <w:tcW w:w="6453" w:type="dxa"/>
            <w:tcMar>
              <w:left w:w="0" w:type="dxa"/>
            </w:tcMar>
            <w:vAlign w:val="center"/>
          </w:tcPr>
          <w:p w14:paraId="7644CD28">
            <w:pPr>
              <w:pStyle w:val="55"/>
              <w:spacing w:before="31" w:after="31"/>
            </w:pPr>
          </w:p>
        </w:tc>
      </w:tr>
      <w:tr w14:paraId="71576476">
        <w:tblPrEx>
          <w:tblCellMar>
            <w:top w:w="0" w:type="dxa"/>
            <w:left w:w="108" w:type="dxa"/>
            <w:bottom w:w="0" w:type="dxa"/>
            <w:right w:w="108" w:type="dxa"/>
          </w:tblCellMar>
        </w:tblPrEx>
        <w:tc>
          <w:tcPr>
            <w:tcW w:w="1481" w:type="dxa"/>
          </w:tcPr>
          <w:p w14:paraId="5B7AABFA">
            <w:pPr>
              <w:pStyle w:val="55"/>
              <w:spacing w:before="31" w:after="31"/>
            </w:pPr>
            <w:r>
              <w:rPr>
                <w:position w:val="-10"/>
              </w:rPr>
              <w:object>
                <v:shape id="_x0000_i1094" o:spt="75" type="#_x0000_t75" style="height:19.9pt;width:30.65pt;" o:ole="t" filled="f" o:preferrelative="t" stroked="f" coordsize="21600,21600">
                  <v:path/>
                  <v:fill on="f" focussize="0,0"/>
                  <v:stroke on="f" joinstyle="miter"/>
                  <v:imagedata r:id="rId149" o:title=""/>
                  <o:lock v:ext="edit" aspectratio="t"/>
                  <w10:wrap type="none"/>
                  <w10:anchorlock/>
                </v:shape>
                <o:OLEObject Type="Embed" ProgID="Equation.DSMT4" ShapeID="_x0000_i1094" DrawAspect="Content" ObjectID="_1468075792" r:id="rId148">
                  <o:LockedField>false</o:LockedField>
                </o:OLEObject>
              </w:object>
            </w:r>
            <w:r>
              <w:t>——</w:t>
            </w:r>
          </w:p>
        </w:tc>
        <w:tc>
          <w:tcPr>
            <w:tcW w:w="6453" w:type="dxa"/>
            <w:tcMar>
              <w:left w:w="0" w:type="dxa"/>
            </w:tcMar>
            <w:vAlign w:val="center"/>
          </w:tcPr>
          <w:p w14:paraId="0C248D8F">
            <w:pPr>
              <w:pStyle w:val="55"/>
              <w:spacing w:before="31" w:after="31"/>
              <w:jc w:val="left"/>
            </w:pPr>
            <w:r>
              <w:t>砌体受压区的截面面积对轴向力N作用点的面积矩；</w:t>
            </w:r>
          </w:p>
        </w:tc>
      </w:tr>
      <w:tr w14:paraId="295022E7">
        <w:tblPrEx>
          <w:tblCellMar>
            <w:top w:w="0" w:type="dxa"/>
            <w:left w:w="108" w:type="dxa"/>
            <w:bottom w:w="0" w:type="dxa"/>
            <w:right w:w="108" w:type="dxa"/>
          </w:tblCellMar>
        </w:tblPrEx>
        <w:tc>
          <w:tcPr>
            <w:tcW w:w="1481" w:type="dxa"/>
          </w:tcPr>
          <w:p w14:paraId="40B607F1">
            <w:pPr>
              <w:pStyle w:val="55"/>
              <w:spacing w:before="31" w:after="31"/>
            </w:pPr>
            <w:r>
              <w:rPr>
                <w:position w:val="-10"/>
              </w:rPr>
              <w:object>
                <v:shape id="_x0000_i1095" o:spt="75" type="#_x0000_t75" style="height:19.9pt;width:25.25pt;" o:ole="t" filled="f" o:preferrelative="t" stroked="f" coordsize="21600,21600">
                  <v:path/>
                  <v:fill on="f" focussize="0,0"/>
                  <v:stroke on="f" joinstyle="miter"/>
                  <v:imagedata r:id="rId151" o:title=""/>
                  <o:lock v:ext="edit" aspectratio="t"/>
                  <w10:wrap type="none"/>
                  <w10:anchorlock/>
                </v:shape>
                <o:OLEObject Type="Embed" ProgID="Equation.DSMT4" ShapeID="_x0000_i1095" DrawAspect="Content" ObjectID="_1468075793" r:id="rId150">
                  <o:LockedField>false</o:LockedField>
                </o:OLEObject>
              </w:object>
            </w:r>
            <w:r>
              <w:t>——</w:t>
            </w:r>
          </w:p>
        </w:tc>
        <w:tc>
          <w:tcPr>
            <w:tcW w:w="6453" w:type="dxa"/>
            <w:tcMar>
              <w:left w:w="0" w:type="dxa"/>
            </w:tcMar>
            <w:vAlign w:val="center"/>
          </w:tcPr>
          <w:p w14:paraId="225B72CF">
            <w:pPr>
              <w:pStyle w:val="55"/>
              <w:spacing w:before="31" w:after="31"/>
              <w:jc w:val="left"/>
            </w:pPr>
            <w:r>
              <w:t>高延性混凝土面层受压区的截面面积对轴向力N作用点的面积矩；</w:t>
            </w:r>
          </w:p>
        </w:tc>
      </w:tr>
    </w:tbl>
    <w:p w14:paraId="0257B823">
      <w:pPr>
        <w:pStyle w:val="3"/>
      </w:pPr>
      <w:bookmarkStart w:id="438" w:name="_Toc63348853"/>
      <w:bookmarkStart w:id="439" w:name="_Toc38352780"/>
      <w:bookmarkStart w:id="440" w:name="_Toc70169743"/>
      <w:bookmarkStart w:id="441" w:name="_Toc38358406"/>
      <w:bookmarkStart w:id="442" w:name="_Toc32865087"/>
      <w:bookmarkStart w:id="443" w:name="_Toc48210360"/>
      <w:bookmarkStart w:id="444" w:name="_Toc52264500"/>
      <w:bookmarkStart w:id="445" w:name="_Toc79615800"/>
      <w:bookmarkStart w:id="446" w:name="_Toc48138892"/>
      <w:bookmarkStart w:id="447" w:name="_Toc54256651"/>
      <w:bookmarkStart w:id="448" w:name="_Toc4425"/>
      <w:bookmarkStart w:id="449" w:name="_Toc11279"/>
      <w:bookmarkStart w:id="450" w:name="_Toc63348929"/>
      <w:bookmarkStart w:id="451" w:name="_Toc70169823"/>
      <w:bookmarkStart w:id="452" w:name="_Toc26324"/>
      <w:bookmarkStart w:id="453" w:name="_Toc19545267"/>
      <w:bookmarkStart w:id="454" w:name="_Toc32848345"/>
      <w:bookmarkStart w:id="455" w:name="_Toc23380"/>
      <w:bookmarkStart w:id="456" w:name="_Toc48210028"/>
      <w:bookmarkStart w:id="457" w:name="_Toc25690914"/>
      <w:bookmarkStart w:id="458" w:name="_Toc48138970"/>
      <w:bookmarkStart w:id="459" w:name="_Toc67330597"/>
      <w:bookmarkStart w:id="460" w:name="_Toc548"/>
      <w:bookmarkStart w:id="461" w:name="_Toc207111713"/>
      <w:bookmarkStart w:id="462" w:name="_Toc25070685"/>
      <w:bookmarkStart w:id="463" w:name="_Toc48210137"/>
      <w:bookmarkStart w:id="464" w:name="_Toc54255556"/>
      <w:bookmarkStart w:id="465" w:name="_Toc2059"/>
      <w:r>
        <w:rPr>
          <w:rFonts w:hint="eastAsia"/>
        </w:rPr>
        <w:t>5.3  砌体抗剪加固</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7A3FBD60">
      <w:pPr>
        <w:pStyle w:val="4"/>
        <w:rPr>
          <w:strike/>
        </w:rPr>
      </w:pPr>
      <w:r>
        <w:rPr>
          <w:rFonts w:hint="eastAsia"/>
          <w:b/>
          <w:iCs/>
        </w:rPr>
        <w:t>5.3.1</w:t>
      </w:r>
      <w:r>
        <w:t xml:space="preserve">  </w:t>
      </w:r>
      <w:r>
        <w:rPr>
          <w:rFonts w:hint="eastAsia"/>
        </w:rPr>
        <w:t>高延性混凝土加固砌体墙的受剪承载力应按下式验算：</w:t>
      </w:r>
    </w:p>
    <w:p w14:paraId="7A510196">
      <w:pPr>
        <w:tabs>
          <w:tab w:val="left" w:pos="2565"/>
        </w:tabs>
        <w:wordWrap w:val="0"/>
        <w:spacing w:after="312" w:line="450" w:lineRule="exact"/>
        <w:ind w:right="88" w:rightChars="42" w:firstLine="420"/>
        <w:jc w:val="right"/>
      </w:pPr>
      <w:r>
        <w:rPr>
          <w:position w:val="-10"/>
        </w:rPr>
        <w:object>
          <v:shape id="_x0000_i1096" o:spt="75" type="#_x0000_t75" style="height:19.9pt;width:76.3pt;" o:ole="t" filled="f" o:preferrelative="t" stroked="f" coordsize="21600,21600">
            <v:path/>
            <v:fill on="f" focussize="0,0"/>
            <v:stroke on="f" joinstyle="miter"/>
            <v:imagedata r:id="rId153" o:title=""/>
            <o:lock v:ext="edit" aspectratio="t"/>
            <w10:wrap type="none"/>
            <w10:anchorlock/>
          </v:shape>
          <o:OLEObject Type="Embed" ProgID="Equation.DSMT4" ShapeID="_x0000_i1096" DrawAspect="Content" ObjectID="_1468075794" r:id="rId152">
            <o:LockedField>false</o:LockedField>
          </o:OLEObject>
        </w:object>
      </w:r>
      <w:r>
        <w:t xml:space="preserve">  </w:t>
      </w:r>
      <w:r>
        <w:rPr>
          <w:rFonts w:hint="eastAsia"/>
        </w:rPr>
        <w:t xml:space="preserve">          </w:t>
      </w:r>
      <w:r>
        <w:t xml:space="preserve">      </w:t>
      </w:r>
      <w:r>
        <w:rPr>
          <w:rFonts w:cs="Times New Roman"/>
          <w:sz w:val="28"/>
          <w:szCs w:val="28"/>
        </w:rPr>
        <w:t>（5.3.1）</w:t>
      </w:r>
    </w:p>
    <w:tbl>
      <w:tblPr>
        <w:tblStyle w:val="28"/>
        <w:tblW w:w="7933" w:type="dxa"/>
        <w:tblInd w:w="111" w:type="dxa"/>
        <w:tblLayout w:type="fixed"/>
        <w:tblCellMar>
          <w:top w:w="0" w:type="dxa"/>
          <w:left w:w="108" w:type="dxa"/>
          <w:bottom w:w="0" w:type="dxa"/>
          <w:right w:w="108" w:type="dxa"/>
        </w:tblCellMar>
      </w:tblPr>
      <w:tblGrid>
        <w:gridCol w:w="1307"/>
        <w:gridCol w:w="6626"/>
      </w:tblGrid>
      <w:tr w14:paraId="606617E8">
        <w:tblPrEx>
          <w:tblCellMar>
            <w:top w:w="0" w:type="dxa"/>
            <w:left w:w="108" w:type="dxa"/>
            <w:bottom w:w="0" w:type="dxa"/>
            <w:right w:w="108" w:type="dxa"/>
          </w:tblCellMar>
        </w:tblPrEx>
        <w:trPr>
          <w:trHeight w:val="397" w:hRule="atLeast"/>
        </w:trPr>
        <w:tc>
          <w:tcPr>
            <w:tcW w:w="1307" w:type="dxa"/>
          </w:tcPr>
          <w:p w14:paraId="10B6D60D">
            <w:pPr>
              <w:pStyle w:val="55"/>
              <w:spacing w:before="31" w:after="31"/>
            </w:pPr>
            <w:r>
              <w:t>式中：</w:t>
            </w:r>
          </w:p>
        </w:tc>
        <w:tc>
          <w:tcPr>
            <w:tcW w:w="6626" w:type="dxa"/>
            <w:vAlign w:val="center"/>
          </w:tcPr>
          <w:p w14:paraId="513E5C41">
            <w:pPr>
              <w:pStyle w:val="55"/>
              <w:spacing w:before="31" w:after="31"/>
              <w:rPr>
                <w:kern w:val="0"/>
              </w:rPr>
            </w:pPr>
          </w:p>
        </w:tc>
      </w:tr>
      <w:tr w14:paraId="37DB7439">
        <w:tblPrEx>
          <w:tblCellMar>
            <w:top w:w="0" w:type="dxa"/>
            <w:left w:w="108" w:type="dxa"/>
            <w:bottom w:w="0" w:type="dxa"/>
            <w:right w:w="108" w:type="dxa"/>
          </w:tblCellMar>
        </w:tblPrEx>
        <w:trPr>
          <w:trHeight w:val="397" w:hRule="atLeast"/>
        </w:trPr>
        <w:tc>
          <w:tcPr>
            <w:tcW w:w="1307" w:type="dxa"/>
          </w:tcPr>
          <w:p w14:paraId="47B00782">
            <w:pPr>
              <w:pStyle w:val="55"/>
              <w:spacing w:before="31" w:after="31"/>
              <w:rPr>
                <w:kern w:val="0"/>
              </w:rPr>
            </w:pPr>
            <w:r>
              <w:rPr>
                <w:i/>
                <w:kern w:val="0"/>
              </w:rPr>
              <w:t>V</w:t>
            </w:r>
            <w:r>
              <w:rPr>
                <w:rFonts w:hint="eastAsia"/>
                <w:i/>
                <w:kern w:val="0"/>
              </w:rPr>
              <w:t xml:space="preserve"> </w:t>
            </w:r>
            <w:r>
              <w:rPr>
                <w:kern w:val="0"/>
              </w:rPr>
              <w:t>——</w:t>
            </w:r>
          </w:p>
        </w:tc>
        <w:tc>
          <w:tcPr>
            <w:tcW w:w="6626" w:type="dxa"/>
            <w:vAlign w:val="center"/>
          </w:tcPr>
          <w:p w14:paraId="471CD31A">
            <w:pPr>
              <w:pStyle w:val="55"/>
              <w:spacing w:before="31" w:after="31"/>
              <w:jc w:val="left"/>
              <w:rPr>
                <w:kern w:val="0"/>
              </w:rPr>
            </w:pPr>
            <w:r>
              <w:rPr>
                <w:kern w:val="0"/>
              </w:rPr>
              <w:t>墙体剪力设计值；</w:t>
            </w:r>
          </w:p>
        </w:tc>
      </w:tr>
      <w:tr w14:paraId="74FC88D0">
        <w:tblPrEx>
          <w:tblCellMar>
            <w:top w:w="0" w:type="dxa"/>
            <w:left w:w="108" w:type="dxa"/>
            <w:bottom w:w="0" w:type="dxa"/>
            <w:right w:w="108" w:type="dxa"/>
          </w:tblCellMar>
        </w:tblPrEx>
        <w:trPr>
          <w:trHeight w:val="397" w:hRule="atLeast"/>
        </w:trPr>
        <w:tc>
          <w:tcPr>
            <w:tcW w:w="1307" w:type="dxa"/>
          </w:tcPr>
          <w:p w14:paraId="79067822">
            <w:pPr>
              <w:pStyle w:val="55"/>
              <w:spacing w:before="31" w:after="31"/>
              <w:rPr>
                <w:kern w:val="0"/>
              </w:rPr>
            </w:pPr>
            <w:r>
              <w:rPr>
                <w:position w:val="-10"/>
              </w:rPr>
              <w:object>
                <v:shape id="_x0000_i1097" o:spt="75" type="#_x0000_t75" style="height:19.9pt;width:19.9pt;" o:ole="t" filled="f" o:preferrelative="t" stroked="f" coordsize="21600,21600">
                  <v:path/>
                  <v:fill on="f" focussize="0,0"/>
                  <v:stroke on="f" joinstyle="miter"/>
                  <v:imagedata r:id="rId155" o:title=""/>
                  <o:lock v:ext="edit" aspectratio="t"/>
                  <w10:wrap type="none"/>
                  <w10:anchorlock/>
                </v:shape>
                <o:OLEObject Type="Embed" ProgID="Equation.DSMT4" ShapeID="_x0000_i1097" DrawAspect="Content" ObjectID="_1468075795" r:id="rId154">
                  <o:LockedField>false</o:LockedField>
                </o:OLEObject>
              </w:object>
            </w:r>
            <w:r>
              <w:rPr>
                <w:kern w:val="0"/>
              </w:rPr>
              <w:t>——</w:t>
            </w:r>
          </w:p>
        </w:tc>
        <w:tc>
          <w:tcPr>
            <w:tcW w:w="6626" w:type="dxa"/>
            <w:vAlign w:val="center"/>
          </w:tcPr>
          <w:p w14:paraId="083BB0DB">
            <w:pPr>
              <w:pStyle w:val="55"/>
              <w:spacing w:before="31" w:after="31"/>
              <w:jc w:val="left"/>
              <w:rPr>
                <w:kern w:val="0"/>
              </w:rPr>
            </w:pPr>
            <w:r>
              <w:rPr>
                <w:kern w:val="0"/>
              </w:rPr>
              <w:t>原墙体受剪承载力，按现行国家标准《砌体结构设计规范》GB 50003计算；被加固墙体为空斗墙时，可不考虑原墙体的受剪承载力，即</w:t>
            </w:r>
            <w:r>
              <w:rPr>
                <w:position w:val="-10"/>
              </w:rPr>
              <w:object>
                <v:shape id="_x0000_i1098" o:spt="75" type="#_x0000_t75" style="height:15.05pt;width:15.05pt;" o:ole="t" filled="f" o:preferrelative="t" stroked="f" coordsize="21600,21600">
                  <v:path/>
                  <v:fill on="f" focussize="0,0"/>
                  <v:stroke on="f" joinstyle="miter"/>
                  <v:imagedata r:id="rId155" o:title=""/>
                  <o:lock v:ext="edit" aspectratio="t"/>
                  <w10:wrap type="none"/>
                  <w10:anchorlock/>
                </v:shape>
                <o:OLEObject Type="Embed" ProgID="Equation.DSMT4" ShapeID="_x0000_i1098" DrawAspect="Content" ObjectID="_1468075796" r:id="rId156">
                  <o:LockedField>false</o:LockedField>
                </o:OLEObject>
              </w:object>
            </w:r>
            <w:r>
              <w:t>=0；</w:t>
            </w:r>
          </w:p>
        </w:tc>
      </w:tr>
      <w:tr w14:paraId="23AE020D">
        <w:tblPrEx>
          <w:tblCellMar>
            <w:top w:w="0" w:type="dxa"/>
            <w:left w:w="108" w:type="dxa"/>
            <w:bottom w:w="0" w:type="dxa"/>
            <w:right w:w="108" w:type="dxa"/>
          </w:tblCellMar>
        </w:tblPrEx>
        <w:trPr>
          <w:trHeight w:val="397" w:hRule="atLeast"/>
        </w:trPr>
        <w:tc>
          <w:tcPr>
            <w:tcW w:w="1307" w:type="dxa"/>
          </w:tcPr>
          <w:p w14:paraId="171989CD">
            <w:pPr>
              <w:pStyle w:val="55"/>
              <w:spacing w:before="31" w:after="31"/>
              <w:rPr>
                <w:kern w:val="0"/>
              </w:rPr>
            </w:pPr>
            <w:r>
              <w:rPr>
                <w:position w:val="-10"/>
              </w:rPr>
              <w:object>
                <v:shape id="_x0000_i1099" o:spt="75" type="#_x0000_t75" style="height:19.9pt;width:19.9pt;" o:ole="t" filled="f" o:preferrelative="t" stroked="f" coordsize="21600,21600">
                  <v:path/>
                  <v:fill on="f" focussize="0,0"/>
                  <v:stroke on="f" joinstyle="miter"/>
                  <v:imagedata r:id="rId158" o:title=""/>
                  <o:lock v:ext="edit" aspectratio="t"/>
                  <w10:wrap type="none"/>
                  <w10:anchorlock/>
                </v:shape>
                <o:OLEObject Type="Embed" ProgID="Equation.DSMT4" ShapeID="_x0000_i1099" DrawAspect="Content" ObjectID="_1468075797" r:id="rId157">
                  <o:LockedField>false</o:LockedField>
                </o:OLEObject>
              </w:object>
            </w:r>
            <w:r>
              <w:rPr>
                <w:kern w:val="0"/>
              </w:rPr>
              <w:t>——</w:t>
            </w:r>
          </w:p>
        </w:tc>
        <w:tc>
          <w:tcPr>
            <w:tcW w:w="6626" w:type="dxa"/>
            <w:vAlign w:val="center"/>
          </w:tcPr>
          <w:p w14:paraId="49C8493A">
            <w:pPr>
              <w:pStyle w:val="55"/>
              <w:spacing w:before="31" w:after="31"/>
              <w:jc w:val="left"/>
              <w:rPr>
                <w:kern w:val="0"/>
              </w:rPr>
            </w:pPr>
            <w:r>
              <w:rPr>
                <w:kern w:val="0"/>
              </w:rPr>
              <w:t>高延性混凝土面层加固后构件受剪承载力提高值。</w:t>
            </w:r>
          </w:p>
        </w:tc>
      </w:tr>
    </w:tbl>
    <w:p w14:paraId="6591673D">
      <w:pPr>
        <w:pStyle w:val="4"/>
      </w:pPr>
      <w:r>
        <w:rPr>
          <w:rFonts w:hint="eastAsia"/>
          <w:b/>
          <w:iCs/>
        </w:rPr>
        <w:t>5.3.2</w:t>
      </w:r>
      <w:r>
        <w:t xml:space="preserve">  </w:t>
      </w:r>
      <w:r>
        <w:rPr>
          <w:rFonts w:hint="eastAsia"/>
        </w:rPr>
        <w:t>高延性混凝土加固后提高的受剪承载力</w:t>
      </w:r>
      <w:r>
        <w:rPr>
          <w:rFonts w:hint="eastAsia"/>
          <w:i/>
          <w:iCs/>
        </w:rPr>
        <w:t>V</w:t>
      </w:r>
      <w:r>
        <w:rPr>
          <w:rFonts w:hint="eastAsia"/>
          <w:vertAlign w:val="subscript"/>
        </w:rPr>
        <w:t>d</w:t>
      </w:r>
      <w:r>
        <w:rPr>
          <w:rFonts w:hint="eastAsia"/>
        </w:rPr>
        <w:t>应按下列公式计算：</w:t>
      </w:r>
    </w:p>
    <w:p w14:paraId="16328A0C">
      <w:pPr>
        <w:tabs>
          <w:tab w:val="left" w:pos="2565"/>
        </w:tabs>
        <w:wordWrap w:val="0"/>
        <w:spacing w:after="312" w:line="450" w:lineRule="exact"/>
        <w:ind w:firstLine="420"/>
        <w:jc w:val="right"/>
      </w:pPr>
      <w:r>
        <w:rPr>
          <w:position w:val="-10"/>
        </w:rPr>
        <w:object>
          <v:shape id="_x0000_i1100" o:spt="75" type="#_x0000_t75" style="height:19.9pt;width:127.9pt;" o:ole="t" filled="f" o:preferrelative="t" stroked="f" coordsize="21600,21600">
            <v:path/>
            <v:fill on="f" focussize="0,0"/>
            <v:stroke on="f" joinstyle="miter"/>
            <v:imagedata r:id="rId160" o:title=""/>
            <o:lock v:ext="edit" aspectratio="t"/>
            <w10:wrap type="none"/>
            <w10:anchorlock/>
          </v:shape>
          <o:OLEObject Type="Embed" ProgID="Equation.DSMT4" ShapeID="_x0000_i1100" DrawAspect="Content" ObjectID="_1468075798" r:id="rId159">
            <o:LockedField>false</o:LockedField>
          </o:OLEObject>
        </w:object>
      </w:r>
      <w:r>
        <w:t xml:space="preserve">    </w:t>
      </w:r>
      <w:r>
        <w:rPr>
          <w:rFonts w:hint="eastAsia"/>
        </w:rPr>
        <w:t xml:space="preserve">       </w:t>
      </w:r>
      <w:r>
        <w:t xml:space="preserve">  </w:t>
      </w:r>
      <w:r>
        <w:rPr>
          <w:rFonts w:cs="Times New Roman"/>
          <w:sz w:val="28"/>
          <w:szCs w:val="28"/>
        </w:rPr>
        <w:t>（5.3.2-1）</w:t>
      </w:r>
    </w:p>
    <w:p w14:paraId="2BE69DA4">
      <w:pPr>
        <w:tabs>
          <w:tab w:val="left" w:pos="2565"/>
        </w:tabs>
        <w:wordWrap w:val="0"/>
        <w:spacing w:after="312" w:line="312" w:lineRule="auto"/>
        <w:ind w:firstLine="420"/>
        <w:jc w:val="right"/>
      </w:pPr>
      <w:r>
        <w:rPr>
          <w:position w:val="-22"/>
        </w:rPr>
        <w:object>
          <v:shape id="_x0000_i1101" o:spt="75" type="#_x0000_t75" style="height:40.3pt;width:120.9pt;" o:ole="t" filled="f" o:preferrelative="t" stroked="f" coordsize="21600,21600">
            <v:path/>
            <v:fill on="f" focussize="0,0"/>
            <v:stroke on="f" joinstyle="miter"/>
            <v:imagedata r:id="rId162" o:title=""/>
            <o:lock v:ext="edit" aspectratio="t"/>
            <w10:wrap type="none"/>
            <w10:anchorlock/>
          </v:shape>
          <o:OLEObject Type="Embed" ProgID="Equation.DSMT4" ShapeID="_x0000_i1101" DrawAspect="Content" ObjectID="_1468075799" r:id="rId161">
            <o:LockedField>false</o:LockedField>
          </o:OLEObject>
        </w:object>
      </w:r>
      <w:r>
        <w:t xml:space="preserve">   </w:t>
      </w:r>
      <w:r>
        <w:rPr>
          <w:rFonts w:hint="eastAsia"/>
        </w:rPr>
        <w:t xml:space="preserve">       </w:t>
      </w:r>
      <w:r>
        <w:t xml:space="preserve">    </w:t>
      </w:r>
      <w:r>
        <w:rPr>
          <w:rFonts w:cs="Times New Roman"/>
          <w:sz w:val="28"/>
          <w:szCs w:val="28"/>
        </w:rPr>
        <w:t>（5.3.2-2）</w:t>
      </w:r>
    </w:p>
    <w:tbl>
      <w:tblPr>
        <w:tblStyle w:val="28"/>
        <w:tblW w:w="7947" w:type="dxa"/>
        <w:tblInd w:w="95" w:type="dxa"/>
        <w:tblLayout w:type="fixed"/>
        <w:tblCellMar>
          <w:top w:w="0" w:type="dxa"/>
          <w:left w:w="108" w:type="dxa"/>
          <w:bottom w:w="0" w:type="dxa"/>
          <w:right w:w="108" w:type="dxa"/>
        </w:tblCellMar>
      </w:tblPr>
      <w:tblGrid>
        <w:gridCol w:w="1474"/>
        <w:gridCol w:w="6473"/>
      </w:tblGrid>
      <w:tr w14:paraId="12CE096E">
        <w:tblPrEx>
          <w:tblCellMar>
            <w:top w:w="0" w:type="dxa"/>
            <w:left w:w="108" w:type="dxa"/>
            <w:bottom w:w="0" w:type="dxa"/>
            <w:right w:w="108" w:type="dxa"/>
          </w:tblCellMar>
        </w:tblPrEx>
        <w:trPr>
          <w:trHeight w:val="397" w:hRule="atLeast"/>
        </w:trPr>
        <w:tc>
          <w:tcPr>
            <w:tcW w:w="1474" w:type="dxa"/>
          </w:tcPr>
          <w:p w14:paraId="493A67A8">
            <w:pPr>
              <w:pStyle w:val="55"/>
              <w:spacing w:before="31" w:after="31"/>
            </w:pPr>
            <w:r>
              <w:t>式中：</w:t>
            </w:r>
          </w:p>
        </w:tc>
        <w:tc>
          <w:tcPr>
            <w:tcW w:w="6473" w:type="dxa"/>
          </w:tcPr>
          <w:p w14:paraId="60A77205">
            <w:pPr>
              <w:pStyle w:val="55"/>
              <w:spacing w:before="31" w:after="31"/>
            </w:pPr>
          </w:p>
        </w:tc>
      </w:tr>
      <w:tr w14:paraId="087AAD80">
        <w:tblPrEx>
          <w:tblCellMar>
            <w:top w:w="0" w:type="dxa"/>
            <w:left w:w="108" w:type="dxa"/>
            <w:bottom w:w="0" w:type="dxa"/>
            <w:right w:w="108" w:type="dxa"/>
          </w:tblCellMar>
        </w:tblPrEx>
        <w:trPr>
          <w:trHeight w:val="397" w:hRule="atLeast"/>
        </w:trPr>
        <w:tc>
          <w:tcPr>
            <w:tcW w:w="1474" w:type="dxa"/>
          </w:tcPr>
          <w:p w14:paraId="054C6BC0">
            <w:pPr>
              <w:pStyle w:val="55"/>
              <w:spacing w:before="31" w:after="31"/>
            </w:pPr>
            <w:r>
              <w:rPr>
                <w:i/>
                <w:position w:val="-10"/>
              </w:rPr>
              <w:object>
                <v:shape id="_x0000_i1102" o:spt="75" type="#_x0000_t75" style="height:23.65pt;width:23.65pt;" o:ole="t" filled="f" o:preferrelative="t" stroked="f" coordsize="21600,21600">
                  <v:path/>
                  <v:fill on="f" focussize="0,0"/>
                  <v:stroke on="f" joinstyle="miter"/>
                  <v:imagedata r:id="rId164" o:title=""/>
                  <o:lock v:ext="edit" aspectratio="t"/>
                  <w10:wrap type="none"/>
                  <w10:anchorlock/>
                </v:shape>
                <o:OLEObject Type="Embed" ProgID="Equation.DSMT4" ShapeID="_x0000_i1102" DrawAspect="Content" ObjectID="_1468075800" r:id="rId163">
                  <o:LockedField>false</o:LockedField>
                </o:OLEObject>
              </w:object>
            </w:r>
            <w:r>
              <w:t>——</w:t>
            </w:r>
          </w:p>
        </w:tc>
        <w:tc>
          <w:tcPr>
            <w:tcW w:w="6473" w:type="dxa"/>
          </w:tcPr>
          <w:p w14:paraId="5FCE4D5C">
            <w:pPr>
              <w:pStyle w:val="55"/>
              <w:spacing w:before="31" w:after="31"/>
              <w:jc w:val="left"/>
            </w:pPr>
            <w:r>
              <w:t>高延性混凝土轴心抗拉强度设计值；</w:t>
            </w:r>
            <w:r>
              <w:rPr>
                <w:i/>
                <w:position w:val="-10"/>
              </w:rPr>
              <w:object>
                <v:shape id="_x0000_i1103" o:spt="75" type="#_x0000_t75" style="height:19.9pt;width:19.9pt;" o:ole="t" filled="f" o:preferrelative="t" stroked="f" coordsize="21600,21600">
                  <v:path/>
                  <v:fill on="f" focussize="0,0"/>
                  <v:stroke on="f" joinstyle="miter"/>
                  <v:imagedata r:id="rId164" o:title=""/>
                  <o:lock v:ext="edit" aspectratio="t"/>
                  <w10:wrap type="none"/>
                  <w10:anchorlock/>
                </v:shape>
                <o:OLEObject Type="Embed" ProgID="Equation.DSMT4" ShapeID="_x0000_i1103" DrawAspect="Content" ObjectID="_1468075801" r:id="rId165">
                  <o:LockedField>false</o:LockedField>
                </o:OLEObject>
              </w:object>
            </w:r>
            <w:r>
              <w:t>按本规程4.3.3条规定取值；当有可靠试验资料时，取值可根据试验结果确定；</w:t>
            </w:r>
          </w:p>
        </w:tc>
      </w:tr>
      <w:tr w14:paraId="306FAF8C">
        <w:tblPrEx>
          <w:tblCellMar>
            <w:top w:w="0" w:type="dxa"/>
            <w:left w:w="108" w:type="dxa"/>
            <w:bottom w:w="0" w:type="dxa"/>
            <w:right w:w="108" w:type="dxa"/>
          </w:tblCellMar>
        </w:tblPrEx>
        <w:trPr>
          <w:trHeight w:val="397" w:hRule="atLeast"/>
        </w:trPr>
        <w:tc>
          <w:tcPr>
            <w:tcW w:w="1474" w:type="dxa"/>
          </w:tcPr>
          <w:p w14:paraId="655EAA44">
            <w:pPr>
              <w:pStyle w:val="55"/>
              <w:spacing w:before="31" w:after="31"/>
              <w:rPr>
                <w:kern w:val="0"/>
              </w:rPr>
            </w:pPr>
            <w:r>
              <w:rPr>
                <w:position w:val="-10"/>
              </w:rPr>
              <w:object>
                <v:shape id="_x0000_i1104" o:spt="75" type="#_x0000_t75" style="height:19.9pt;width:23.65pt;" o:ole="t" filled="f" o:preferrelative="t" stroked="f" coordsize="21600,21600">
                  <v:path/>
                  <v:fill on="f" focussize="0,0"/>
                  <v:stroke on="f" joinstyle="miter"/>
                  <v:imagedata r:id="rId167" o:title=""/>
                  <o:lock v:ext="edit" aspectratio="t"/>
                  <w10:wrap type="none"/>
                  <w10:anchorlock/>
                </v:shape>
                <o:OLEObject Type="Embed" ProgID="Equation.DSMT4" ShapeID="_x0000_i1104" DrawAspect="Content" ObjectID="_1468075802" r:id="rId166">
                  <o:LockedField>false</o:LockedField>
                </o:OLEObject>
              </w:object>
            </w:r>
            <w:r>
              <w:rPr>
                <w:kern w:val="0"/>
              </w:rPr>
              <w:t>——</w:t>
            </w:r>
          </w:p>
        </w:tc>
        <w:tc>
          <w:tcPr>
            <w:tcW w:w="6473" w:type="dxa"/>
            <w:vAlign w:val="center"/>
          </w:tcPr>
          <w:p w14:paraId="7BB6D754">
            <w:pPr>
              <w:pStyle w:val="55"/>
              <w:spacing w:before="31" w:after="31"/>
              <w:jc w:val="left"/>
              <w:rPr>
                <w:kern w:val="0"/>
              </w:rPr>
            </w:pPr>
            <w:r>
              <w:rPr>
                <w:kern w:val="0"/>
              </w:rPr>
              <w:t>抗剪加固时，高延性混凝土强度利用系数，可取</w:t>
            </w:r>
            <w:r>
              <w:rPr>
                <w:position w:val="-10"/>
              </w:rPr>
              <w:object>
                <v:shape id="_x0000_i1105" o:spt="75" type="#_x0000_t75" style="height:19.9pt;width:59.65pt;" o:ole="t" filled="f" o:preferrelative="t" stroked="f" coordsize="21600,21600">
                  <v:path/>
                  <v:fill on="f" focussize="0,0"/>
                  <v:stroke on="f" joinstyle="miter"/>
                  <v:imagedata r:id="rId169" o:title=""/>
                  <o:lock v:ext="edit" aspectratio="t"/>
                  <w10:wrap type="none"/>
                  <w10:anchorlock/>
                </v:shape>
                <o:OLEObject Type="Embed" ProgID="Equation.DSMT4" ShapeID="_x0000_i1105" DrawAspect="Content" ObjectID="_1468075803" r:id="rId168">
                  <o:LockedField>false</o:LockedField>
                </o:OLEObject>
              </w:object>
            </w:r>
            <w:r>
              <w:rPr>
                <w:kern w:val="0"/>
              </w:rPr>
              <w:t>；</w:t>
            </w:r>
          </w:p>
        </w:tc>
      </w:tr>
      <w:tr w14:paraId="22C33219">
        <w:tblPrEx>
          <w:tblCellMar>
            <w:top w:w="0" w:type="dxa"/>
            <w:left w:w="108" w:type="dxa"/>
            <w:bottom w:w="0" w:type="dxa"/>
            <w:right w:w="108" w:type="dxa"/>
          </w:tblCellMar>
        </w:tblPrEx>
        <w:trPr>
          <w:trHeight w:val="397" w:hRule="atLeast"/>
        </w:trPr>
        <w:tc>
          <w:tcPr>
            <w:tcW w:w="1474" w:type="dxa"/>
          </w:tcPr>
          <w:p w14:paraId="47AE556A">
            <w:pPr>
              <w:pStyle w:val="55"/>
              <w:spacing w:before="31" w:after="31"/>
              <w:rPr>
                <w:kern w:val="0"/>
              </w:rPr>
            </w:pPr>
            <w:r>
              <w:rPr>
                <w:i/>
                <w:kern w:val="0"/>
              </w:rPr>
              <w:t>b</w:t>
            </w:r>
            <w:r>
              <w:rPr>
                <w:kern w:val="0"/>
              </w:rPr>
              <w:t xml:space="preserve"> ——</w:t>
            </w:r>
          </w:p>
        </w:tc>
        <w:tc>
          <w:tcPr>
            <w:tcW w:w="6473" w:type="dxa"/>
          </w:tcPr>
          <w:p w14:paraId="060FAF42">
            <w:pPr>
              <w:pStyle w:val="55"/>
              <w:spacing w:before="31" w:after="31"/>
              <w:jc w:val="left"/>
              <w:rPr>
                <w:kern w:val="0"/>
              </w:rPr>
            </w:pPr>
            <w:r>
              <w:rPr>
                <w:kern w:val="0"/>
              </w:rPr>
              <w:t>高延性混凝土面层厚度（双面加固时，取其厚度之和）；</w:t>
            </w:r>
          </w:p>
        </w:tc>
      </w:tr>
      <w:tr w14:paraId="3B2BA48C">
        <w:tblPrEx>
          <w:tblCellMar>
            <w:top w:w="0" w:type="dxa"/>
            <w:left w:w="108" w:type="dxa"/>
            <w:bottom w:w="0" w:type="dxa"/>
            <w:right w:w="108" w:type="dxa"/>
          </w:tblCellMar>
        </w:tblPrEx>
        <w:trPr>
          <w:trHeight w:val="397" w:hRule="atLeast"/>
        </w:trPr>
        <w:tc>
          <w:tcPr>
            <w:tcW w:w="1474" w:type="dxa"/>
          </w:tcPr>
          <w:p w14:paraId="3565A89F">
            <w:pPr>
              <w:pStyle w:val="55"/>
              <w:spacing w:before="31" w:after="31"/>
              <w:rPr>
                <w:kern w:val="0"/>
              </w:rPr>
            </w:pPr>
            <w:r>
              <w:rPr>
                <w:i/>
                <w:kern w:val="0"/>
              </w:rPr>
              <w:t>h</w:t>
            </w:r>
            <w:r>
              <w:rPr>
                <w:kern w:val="0"/>
              </w:rPr>
              <w:t xml:space="preserve"> ——</w:t>
            </w:r>
          </w:p>
        </w:tc>
        <w:tc>
          <w:tcPr>
            <w:tcW w:w="6473" w:type="dxa"/>
          </w:tcPr>
          <w:p w14:paraId="1802B6CD">
            <w:pPr>
              <w:pStyle w:val="55"/>
              <w:spacing w:before="31" w:after="31"/>
              <w:jc w:val="left"/>
              <w:rPr>
                <w:kern w:val="0"/>
              </w:rPr>
            </w:pPr>
            <w:r>
              <w:rPr>
                <w:kern w:val="0"/>
              </w:rPr>
              <w:t>采用面层加固的墙体水平方向长度；</w:t>
            </w:r>
          </w:p>
        </w:tc>
      </w:tr>
      <w:tr w14:paraId="2BE8FD54">
        <w:tblPrEx>
          <w:tblCellMar>
            <w:top w:w="0" w:type="dxa"/>
            <w:left w:w="108" w:type="dxa"/>
            <w:bottom w:w="0" w:type="dxa"/>
            <w:right w:w="108" w:type="dxa"/>
          </w:tblCellMar>
        </w:tblPrEx>
        <w:trPr>
          <w:trHeight w:val="397" w:hRule="atLeast"/>
        </w:trPr>
        <w:tc>
          <w:tcPr>
            <w:tcW w:w="1474" w:type="dxa"/>
          </w:tcPr>
          <w:p w14:paraId="1454730B">
            <w:pPr>
              <w:pStyle w:val="55"/>
              <w:spacing w:before="31" w:after="31"/>
              <w:rPr>
                <w:kern w:val="0"/>
              </w:rPr>
            </w:pPr>
            <w:r>
              <w:rPr>
                <w:i/>
                <w:position w:val="-10"/>
              </w:rPr>
              <w:object>
                <v:shape id="_x0000_i1106" o:spt="75" type="#_x0000_t75" style="height:19.9pt;width:19.9pt;" o:ole="t" filled="f" o:preferrelative="t" stroked="f" coordsize="21600,21600">
                  <v:path/>
                  <v:fill on="f" focussize="0,0"/>
                  <v:stroke on="f" joinstyle="miter"/>
                  <v:imagedata r:id="rId171" o:title=""/>
                  <o:lock v:ext="edit" aspectratio="t"/>
                  <w10:wrap type="none"/>
                  <w10:anchorlock/>
                </v:shape>
                <o:OLEObject Type="Embed" ProgID="Equation.DSMT4" ShapeID="_x0000_i1106" DrawAspect="Content" ObjectID="_1468075804" r:id="rId170">
                  <o:LockedField>false</o:LockedField>
                </o:OLEObject>
              </w:object>
            </w:r>
            <w:r>
              <w:rPr>
                <w:kern w:val="0"/>
              </w:rPr>
              <w:t>——</w:t>
            </w:r>
          </w:p>
        </w:tc>
        <w:tc>
          <w:tcPr>
            <w:tcW w:w="6473" w:type="dxa"/>
          </w:tcPr>
          <w:p w14:paraId="06CE1ADB">
            <w:pPr>
              <w:pStyle w:val="55"/>
              <w:spacing w:before="31" w:after="31"/>
              <w:jc w:val="left"/>
              <w:rPr>
                <w:kern w:val="0"/>
              </w:rPr>
            </w:pPr>
            <w:r>
              <w:rPr>
                <w:kern w:val="0"/>
              </w:rPr>
              <w:t>墙体采用配筋面层加固后，水平钢筋承担的剪力；</w:t>
            </w:r>
          </w:p>
        </w:tc>
      </w:tr>
      <w:tr w14:paraId="502E67CF">
        <w:tblPrEx>
          <w:tblCellMar>
            <w:top w:w="0" w:type="dxa"/>
            <w:left w:w="108" w:type="dxa"/>
            <w:bottom w:w="0" w:type="dxa"/>
            <w:right w:w="108" w:type="dxa"/>
          </w:tblCellMar>
        </w:tblPrEx>
        <w:trPr>
          <w:trHeight w:val="397" w:hRule="atLeast"/>
        </w:trPr>
        <w:tc>
          <w:tcPr>
            <w:tcW w:w="1474" w:type="dxa"/>
          </w:tcPr>
          <w:p w14:paraId="244B5B14">
            <w:pPr>
              <w:pStyle w:val="55"/>
              <w:spacing w:before="31" w:after="31"/>
              <w:rPr>
                <w:kern w:val="0"/>
              </w:rPr>
            </w:pPr>
            <w:r>
              <w:rPr>
                <w:position w:val="-10"/>
              </w:rPr>
              <w:object>
                <v:shape id="_x0000_i1107" o:spt="75" type="#_x0000_t75" style="height:19.9pt;width:25.25pt;" o:ole="t" filled="f" o:preferrelative="t" stroked="f" coordsize="21600,21600">
                  <v:path/>
                  <v:fill on="f" focussize="0,0"/>
                  <v:stroke on="f" joinstyle="miter"/>
                  <v:imagedata r:id="rId173" o:title=""/>
                  <o:lock v:ext="edit" aspectratio="t"/>
                  <w10:wrap type="none"/>
                  <w10:anchorlock/>
                </v:shape>
                <o:OLEObject Type="Embed" ProgID="Equation.DSMT4" ShapeID="_x0000_i1107" DrawAspect="Content" ObjectID="_1468075805" r:id="rId172">
                  <o:LockedField>false</o:LockedField>
                </o:OLEObject>
              </w:object>
            </w:r>
            <w:r>
              <w:rPr>
                <w:kern w:val="0"/>
              </w:rPr>
              <w:t>——</w:t>
            </w:r>
          </w:p>
        </w:tc>
        <w:tc>
          <w:tcPr>
            <w:tcW w:w="6473" w:type="dxa"/>
          </w:tcPr>
          <w:p w14:paraId="79F1E6C1">
            <w:pPr>
              <w:pStyle w:val="55"/>
              <w:spacing w:before="31" w:after="31"/>
              <w:jc w:val="left"/>
              <w:rPr>
                <w:kern w:val="0"/>
              </w:rPr>
            </w:pPr>
            <w:r>
              <w:rPr>
                <w:kern w:val="0"/>
              </w:rPr>
              <w:t>水平向钢筋强度利用系数，可取</w:t>
            </w:r>
            <w:r>
              <w:rPr>
                <w:position w:val="-10"/>
              </w:rPr>
              <w:object>
                <v:shape id="_x0000_i1108" o:spt="75" type="#_x0000_t75" style="height:16.65pt;width:41.35pt;" o:ole="t" filled="f" o:preferrelative="t" stroked="f" coordsize="21600,21600">
                  <v:path/>
                  <v:fill on="f" focussize="0,0"/>
                  <v:stroke on="f" joinstyle="miter"/>
                  <v:imagedata r:id="rId175" o:title=""/>
                  <o:lock v:ext="edit" aspectratio="t"/>
                  <w10:wrap type="none"/>
                  <w10:anchorlock/>
                </v:shape>
                <o:OLEObject Type="Embed" ProgID="Equation.DSMT4" ShapeID="_x0000_i1108" DrawAspect="Content" ObjectID="_1468075806" r:id="rId174">
                  <o:LockedField>false</o:LockedField>
                </o:OLEObject>
              </w:object>
            </w:r>
            <w:r>
              <w:rPr>
                <w:kern w:val="0"/>
              </w:rPr>
              <w:t>；</w:t>
            </w:r>
          </w:p>
        </w:tc>
      </w:tr>
      <w:tr w14:paraId="24C6851A">
        <w:tblPrEx>
          <w:tblCellMar>
            <w:top w:w="0" w:type="dxa"/>
            <w:left w:w="108" w:type="dxa"/>
            <w:bottom w:w="0" w:type="dxa"/>
            <w:right w:w="108" w:type="dxa"/>
          </w:tblCellMar>
        </w:tblPrEx>
        <w:trPr>
          <w:trHeight w:val="397" w:hRule="atLeast"/>
        </w:trPr>
        <w:tc>
          <w:tcPr>
            <w:tcW w:w="1474" w:type="dxa"/>
          </w:tcPr>
          <w:p w14:paraId="1F51470B">
            <w:pPr>
              <w:pStyle w:val="55"/>
              <w:spacing w:before="31" w:after="31"/>
              <w:rPr>
                <w:kern w:val="0"/>
              </w:rPr>
            </w:pPr>
            <w:r>
              <w:rPr>
                <w:position w:val="-14"/>
              </w:rPr>
              <w:object>
                <v:shape id="_x0000_i1109" o:spt="75" type="#_x0000_t75" style="height:23.65pt;width:19.9pt;" o:ole="t" filled="f" o:preferrelative="t" stroked="f" coordsize="21600,21600">
                  <v:path/>
                  <v:fill on="f" focussize="0,0"/>
                  <v:stroke on="f" joinstyle="miter"/>
                  <v:imagedata r:id="rId177" o:title=""/>
                  <o:lock v:ext="edit" aspectratio="t"/>
                  <w10:wrap type="none"/>
                  <w10:anchorlock/>
                </v:shape>
                <o:OLEObject Type="Embed" ProgID="Equation.DSMT4" ShapeID="_x0000_i1109" DrawAspect="Content" ObjectID="_1468075807" r:id="rId176">
                  <o:LockedField>false</o:LockedField>
                </o:OLEObject>
              </w:object>
            </w:r>
            <w:r>
              <w:rPr>
                <w:kern w:val="0"/>
              </w:rPr>
              <w:t>——</w:t>
            </w:r>
          </w:p>
        </w:tc>
        <w:tc>
          <w:tcPr>
            <w:tcW w:w="6473" w:type="dxa"/>
          </w:tcPr>
          <w:p w14:paraId="0C1F387B">
            <w:pPr>
              <w:pStyle w:val="55"/>
              <w:spacing w:before="31" w:after="31"/>
              <w:jc w:val="left"/>
              <w:rPr>
                <w:kern w:val="0"/>
              </w:rPr>
            </w:pPr>
            <w:r>
              <w:rPr>
                <w:kern w:val="0"/>
              </w:rPr>
              <w:t>水平向钢筋的强度设计值；</w:t>
            </w:r>
          </w:p>
        </w:tc>
      </w:tr>
      <w:tr w14:paraId="1ACE6415">
        <w:tblPrEx>
          <w:tblCellMar>
            <w:top w:w="0" w:type="dxa"/>
            <w:left w:w="108" w:type="dxa"/>
            <w:bottom w:w="0" w:type="dxa"/>
            <w:right w:w="108" w:type="dxa"/>
          </w:tblCellMar>
        </w:tblPrEx>
        <w:trPr>
          <w:trHeight w:val="397" w:hRule="atLeast"/>
        </w:trPr>
        <w:tc>
          <w:tcPr>
            <w:tcW w:w="1474" w:type="dxa"/>
          </w:tcPr>
          <w:p w14:paraId="6EECF5AF">
            <w:pPr>
              <w:pStyle w:val="55"/>
              <w:spacing w:before="31" w:after="31"/>
              <w:rPr>
                <w:kern w:val="0"/>
              </w:rPr>
            </w:pPr>
            <w:r>
              <w:rPr>
                <w:i/>
                <w:position w:val="-10"/>
              </w:rPr>
              <w:object>
                <v:shape id="_x0000_i1110" o:spt="75" type="#_x0000_t75" style="height:19.9pt;width:19.9pt;" o:ole="t" filled="f" o:preferrelative="t" stroked="f" coordsize="21600,21600">
                  <v:path/>
                  <v:fill on="f" focussize="0,0"/>
                  <v:stroke on="f" joinstyle="miter"/>
                  <v:imagedata r:id="rId179" o:title=""/>
                  <o:lock v:ext="edit" aspectratio="t"/>
                  <w10:wrap type="none"/>
                  <w10:anchorlock/>
                </v:shape>
                <o:OLEObject Type="Embed" ProgID="Equation.DSMT4" ShapeID="_x0000_i1110" DrawAspect="Content" ObjectID="_1468075808" r:id="rId178">
                  <o:LockedField>false</o:LockedField>
                </o:OLEObject>
              </w:object>
            </w:r>
            <w:r>
              <w:rPr>
                <w:kern w:val="0"/>
              </w:rPr>
              <w:t>——</w:t>
            </w:r>
          </w:p>
        </w:tc>
        <w:tc>
          <w:tcPr>
            <w:tcW w:w="6473" w:type="dxa"/>
          </w:tcPr>
          <w:p w14:paraId="139A201B">
            <w:pPr>
              <w:pStyle w:val="55"/>
              <w:spacing w:before="31" w:after="31"/>
              <w:jc w:val="left"/>
              <w:rPr>
                <w:kern w:val="0"/>
              </w:rPr>
            </w:pPr>
            <w:r>
              <w:rPr>
                <w:kern w:val="0"/>
              </w:rPr>
              <w:t>配置在同一截面内的水平向钢筋全部截面面积；</w:t>
            </w:r>
          </w:p>
        </w:tc>
      </w:tr>
      <w:tr w14:paraId="5EE52D14">
        <w:tblPrEx>
          <w:tblCellMar>
            <w:top w:w="0" w:type="dxa"/>
            <w:left w:w="108" w:type="dxa"/>
            <w:bottom w:w="0" w:type="dxa"/>
            <w:right w:w="108" w:type="dxa"/>
          </w:tblCellMar>
        </w:tblPrEx>
        <w:trPr>
          <w:trHeight w:val="397" w:hRule="atLeast"/>
        </w:trPr>
        <w:tc>
          <w:tcPr>
            <w:tcW w:w="1474" w:type="dxa"/>
          </w:tcPr>
          <w:p w14:paraId="7AE23CE9">
            <w:pPr>
              <w:pStyle w:val="55"/>
              <w:spacing w:before="31" w:after="31"/>
              <w:rPr>
                <w:kern w:val="0"/>
              </w:rPr>
            </w:pPr>
            <w:r>
              <w:rPr>
                <w:i/>
                <w:position w:val="-6"/>
              </w:rPr>
              <w:object>
                <v:shape id="_x0000_i1111" o:spt="75" type="#_x0000_t75" style="height:13.45pt;width:12.35pt;" o:ole="t" filled="f" o:preferrelative="t" stroked="f" coordsize="21600,21600">
                  <v:path/>
                  <v:fill on="f" focussize="0,0"/>
                  <v:stroke on="f" joinstyle="miter"/>
                  <v:imagedata r:id="rId181" o:title=""/>
                  <o:lock v:ext="edit" aspectratio="t"/>
                  <w10:wrap type="none"/>
                  <w10:anchorlock/>
                </v:shape>
                <o:OLEObject Type="Embed" ProgID="Equation.DSMT4" ShapeID="_x0000_i1111" DrawAspect="Content" ObjectID="_1468075809" r:id="rId180">
                  <o:LockedField>false</o:LockedField>
                </o:OLEObject>
              </w:object>
            </w:r>
            <w:r>
              <w:rPr>
                <w:kern w:val="0"/>
              </w:rPr>
              <w:t>——</w:t>
            </w:r>
          </w:p>
        </w:tc>
        <w:tc>
          <w:tcPr>
            <w:tcW w:w="6473" w:type="dxa"/>
          </w:tcPr>
          <w:p w14:paraId="5447BB31">
            <w:pPr>
              <w:pStyle w:val="55"/>
              <w:spacing w:before="31" w:after="31"/>
              <w:jc w:val="left"/>
              <w:rPr>
                <w:kern w:val="0"/>
              </w:rPr>
            </w:pPr>
            <w:r>
              <w:t>水平向钢筋的间距</w:t>
            </w:r>
            <w:r>
              <w:rPr>
                <w:kern w:val="0"/>
              </w:rPr>
              <w:t>。</w:t>
            </w:r>
          </w:p>
        </w:tc>
      </w:tr>
    </w:tbl>
    <w:p w14:paraId="18FF2FC9">
      <w:pPr>
        <w:pStyle w:val="3"/>
      </w:pPr>
      <w:bookmarkStart w:id="466" w:name="_Toc48210138"/>
      <w:bookmarkStart w:id="467" w:name="_Toc6206"/>
      <w:bookmarkStart w:id="468" w:name="_Toc32865088"/>
      <w:bookmarkStart w:id="469" w:name="_Toc54255557"/>
      <w:bookmarkStart w:id="470" w:name="_Toc22572"/>
      <w:bookmarkStart w:id="471" w:name="_Toc32848346"/>
      <w:bookmarkStart w:id="472" w:name="_Toc25070686"/>
      <w:bookmarkStart w:id="473" w:name="_Toc63348854"/>
      <w:bookmarkStart w:id="474" w:name="_Toc48210029"/>
      <w:bookmarkStart w:id="475" w:name="_Toc70169744"/>
      <w:bookmarkStart w:id="476" w:name="_Toc18885"/>
      <w:bookmarkStart w:id="477" w:name="_Toc70169824"/>
      <w:bookmarkStart w:id="478" w:name="_Toc14332"/>
      <w:bookmarkStart w:id="479" w:name="_Toc48210361"/>
      <w:bookmarkStart w:id="480" w:name="_Toc52264501"/>
      <w:bookmarkStart w:id="481" w:name="_Toc2118"/>
      <w:bookmarkStart w:id="482" w:name="_Toc38358407"/>
      <w:bookmarkStart w:id="483" w:name="_Toc54256652"/>
      <w:bookmarkStart w:id="484" w:name="_Toc27295"/>
      <w:bookmarkStart w:id="485" w:name="_Toc25690915"/>
      <w:bookmarkStart w:id="486" w:name="_Toc48138893"/>
      <w:bookmarkStart w:id="487" w:name="_Toc79615801"/>
      <w:bookmarkStart w:id="488" w:name="_Toc19545268"/>
      <w:bookmarkStart w:id="489" w:name="_Toc207111714"/>
      <w:bookmarkStart w:id="490" w:name="_Toc38352781"/>
      <w:bookmarkStart w:id="491" w:name="_Toc63348930"/>
      <w:bookmarkStart w:id="492" w:name="_Toc48138971"/>
      <w:bookmarkStart w:id="493" w:name="_Toc67330598"/>
      <w:r>
        <w:rPr>
          <w:rFonts w:hint="eastAsia"/>
        </w:rPr>
        <w:t>5.4  砌体抗震加固</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10D8EB7E">
      <w:pPr>
        <w:pStyle w:val="4"/>
      </w:pPr>
      <w:r>
        <w:rPr>
          <w:rFonts w:hint="eastAsia"/>
          <w:b/>
          <w:iCs/>
        </w:rPr>
        <w:t>5.4.1</w:t>
      </w:r>
      <w:r>
        <w:t xml:space="preserve">  </w:t>
      </w:r>
      <w:r>
        <w:rPr>
          <w:rFonts w:hint="eastAsia"/>
        </w:rPr>
        <w:t>高延性混凝土加固砌体墙的抗震受剪承载力应按下式验算：</w:t>
      </w:r>
      <w:r>
        <w:t xml:space="preserve"> </w:t>
      </w:r>
    </w:p>
    <w:p w14:paraId="6CCF0076">
      <w:pPr>
        <w:tabs>
          <w:tab w:val="left" w:pos="2565"/>
        </w:tabs>
        <w:wordWrap w:val="0"/>
        <w:spacing w:after="312" w:line="320" w:lineRule="atLeast"/>
        <w:ind w:right="105" w:firstLine="420"/>
        <w:jc w:val="right"/>
      </w:pPr>
      <w:r>
        <w:rPr>
          <w:position w:val="-28"/>
        </w:rPr>
        <w:object>
          <v:shape id="_x0000_i1112" o:spt="75" type="#_x0000_t75" style="height:40.3pt;width:76.3pt;" o:ole="t" filled="f" o:preferrelative="t" stroked="f" coordsize="21600,21600">
            <v:path/>
            <v:fill on="f" focussize="0,0"/>
            <v:stroke on="f" joinstyle="miter"/>
            <v:imagedata r:id="rId183" o:title=""/>
            <o:lock v:ext="edit" aspectratio="t"/>
            <w10:wrap type="none"/>
            <w10:anchorlock/>
          </v:shape>
          <o:OLEObject Type="Embed" ProgID="Equation.DSMT4" ShapeID="_x0000_i1112" DrawAspect="Content" ObjectID="_1468075810" r:id="rId182">
            <o:LockedField>false</o:LockedField>
          </o:OLEObject>
        </w:object>
      </w:r>
      <w:r>
        <w:t xml:space="preserve">   </w:t>
      </w:r>
      <w:r>
        <w:rPr>
          <w:rFonts w:hint="eastAsia"/>
        </w:rPr>
        <w:t xml:space="preserve">      </w:t>
      </w:r>
      <w:r>
        <w:t xml:space="preserve">       </w:t>
      </w:r>
      <w:r>
        <w:rPr>
          <w:rFonts w:cs="Times New Roman"/>
          <w:sz w:val="28"/>
          <w:szCs w:val="28"/>
        </w:rPr>
        <w:t>（5.4.1）</w:t>
      </w:r>
    </w:p>
    <w:tbl>
      <w:tblPr>
        <w:tblStyle w:val="28"/>
        <w:tblW w:w="7922" w:type="dxa"/>
        <w:tblInd w:w="95" w:type="dxa"/>
        <w:tblLayout w:type="fixed"/>
        <w:tblCellMar>
          <w:top w:w="0" w:type="dxa"/>
          <w:left w:w="108" w:type="dxa"/>
          <w:bottom w:w="0" w:type="dxa"/>
          <w:right w:w="108" w:type="dxa"/>
        </w:tblCellMar>
      </w:tblPr>
      <w:tblGrid>
        <w:gridCol w:w="1474"/>
        <w:gridCol w:w="6448"/>
      </w:tblGrid>
      <w:tr w14:paraId="0F63F1C6">
        <w:tblPrEx>
          <w:tblCellMar>
            <w:top w:w="0" w:type="dxa"/>
            <w:left w:w="108" w:type="dxa"/>
            <w:bottom w:w="0" w:type="dxa"/>
            <w:right w:w="108" w:type="dxa"/>
          </w:tblCellMar>
        </w:tblPrEx>
        <w:trPr>
          <w:trHeight w:val="424" w:hRule="atLeast"/>
        </w:trPr>
        <w:tc>
          <w:tcPr>
            <w:tcW w:w="1474" w:type="dxa"/>
          </w:tcPr>
          <w:p w14:paraId="5C5197D7">
            <w:pPr>
              <w:pStyle w:val="55"/>
              <w:spacing w:before="31" w:after="31"/>
            </w:pPr>
            <w:r>
              <w:t>式中：</w:t>
            </w:r>
          </w:p>
        </w:tc>
        <w:tc>
          <w:tcPr>
            <w:tcW w:w="6448" w:type="dxa"/>
            <w:vAlign w:val="center"/>
          </w:tcPr>
          <w:p w14:paraId="413AFF61">
            <w:pPr>
              <w:pStyle w:val="55"/>
              <w:spacing w:before="31" w:after="31"/>
              <w:rPr>
                <w:kern w:val="0"/>
              </w:rPr>
            </w:pPr>
          </w:p>
        </w:tc>
      </w:tr>
      <w:tr w14:paraId="3C94130B">
        <w:tblPrEx>
          <w:tblCellMar>
            <w:top w:w="0" w:type="dxa"/>
            <w:left w:w="108" w:type="dxa"/>
            <w:bottom w:w="0" w:type="dxa"/>
            <w:right w:w="108" w:type="dxa"/>
          </w:tblCellMar>
        </w:tblPrEx>
        <w:trPr>
          <w:trHeight w:val="397" w:hRule="atLeast"/>
        </w:trPr>
        <w:tc>
          <w:tcPr>
            <w:tcW w:w="1474" w:type="dxa"/>
          </w:tcPr>
          <w:p w14:paraId="083F01FD">
            <w:pPr>
              <w:pStyle w:val="55"/>
              <w:spacing w:before="31" w:after="31"/>
              <w:rPr>
                <w:kern w:val="0"/>
              </w:rPr>
            </w:pPr>
            <w:r>
              <w:rPr>
                <w:position w:val="-10"/>
              </w:rPr>
              <w:object>
                <v:shape id="_x0000_i1113" o:spt="75" type="#_x0000_t75" style="height:19.9pt;width:19.9pt;" o:ole="t" filled="f" o:preferrelative="t" stroked="f" coordsize="21600,21600">
                  <v:path/>
                  <v:fill on="f" focussize="0,0"/>
                  <v:stroke on="f" joinstyle="miter"/>
                  <v:imagedata r:id="rId185" o:title=""/>
                  <o:lock v:ext="edit" aspectratio="t"/>
                  <w10:wrap type="none"/>
                  <w10:anchorlock/>
                </v:shape>
                <o:OLEObject Type="Embed" ProgID="Equation.DSMT4" ShapeID="_x0000_i1113" DrawAspect="Content" ObjectID="_1468075811" r:id="rId184">
                  <o:LockedField>false</o:LockedField>
                </o:OLEObject>
              </w:object>
            </w:r>
            <w:r>
              <w:rPr>
                <w:kern w:val="0"/>
              </w:rPr>
              <w:t>——</w:t>
            </w:r>
          </w:p>
        </w:tc>
        <w:tc>
          <w:tcPr>
            <w:tcW w:w="6448" w:type="dxa"/>
            <w:vAlign w:val="center"/>
          </w:tcPr>
          <w:p w14:paraId="743BFE34">
            <w:pPr>
              <w:pStyle w:val="55"/>
              <w:spacing w:before="31" w:after="31"/>
              <w:jc w:val="left"/>
              <w:rPr>
                <w:kern w:val="0"/>
              </w:rPr>
            </w:pPr>
            <w:r>
              <w:rPr>
                <w:rFonts w:hint="eastAsia"/>
                <w:kern w:val="0"/>
              </w:rPr>
              <w:t>考虑</w:t>
            </w:r>
            <w:r>
              <w:rPr>
                <w:kern w:val="0"/>
              </w:rPr>
              <w:t>地震组合的墙体剪力设计值；</w:t>
            </w:r>
          </w:p>
        </w:tc>
      </w:tr>
      <w:tr w14:paraId="2D3AE03C">
        <w:tblPrEx>
          <w:tblCellMar>
            <w:top w:w="0" w:type="dxa"/>
            <w:left w:w="108" w:type="dxa"/>
            <w:bottom w:w="0" w:type="dxa"/>
            <w:right w:w="108" w:type="dxa"/>
          </w:tblCellMar>
        </w:tblPrEx>
        <w:trPr>
          <w:trHeight w:val="397" w:hRule="atLeast"/>
        </w:trPr>
        <w:tc>
          <w:tcPr>
            <w:tcW w:w="1474" w:type="dxa"/>
          </w:tcPr>
          <w:p w14:paraId="17AB541B">
            <w:pPr>
              <w:pStyle w:val="55"/>
              <w:spacing w:before="31" w:after="31"/>
              <w:rPr>
                <w:kern w:val="0"/>
              </w:rPr>
            </w:pPr>
            <w:r>
              <w:rPr>
                <w:position w:val="-10"/>
              </w:rPr>
              <w:object>
                <v:shape id="_x0000_i1114" o:spt="75" type="#_x0000_t75" style="height:19.9pt;width:23.65pt;" o:ole="t" filled="f" o:preferrelative="t" stroked="f" coordsize="21600,21600">
                  <v:path/>
                  <v:fill on="f" focussize="0,0"/>
                  <v:stroke on="f" joinstyle="miter"/>
                  <v:imagedata r:id="rId187" o:title=""/>
                  <o:lock v:ext="edit" aspectratio="t"/>
                  <w10:wrap type="none"/>
                  <w10:anchorlock/>
                </v:shape>
                <o:OLEObject Type="Embed" ProgID="Equation.DSMT4" ShapeID="_x0000_i1114" DrawAspect="Content" ObjectID="_1468075812" r:id="rId186">
                  <o:LockedField>false</o:LockedField>
                </o:OLEObject>
              </w:object>
            </w:r>
            <w:r>
              <w:rPr>
                <w:kern w:val="0"/>
              </w:rPr>
              <w:t>——</w:t>
            </w:r>
          </w:p>
        </w:tc>
        <w:tc>
          <w:tcPr>
            <w:tcW w:w="6448" w:type="dxa"/>
            <w:vAlign w:val="center"/>
          </w:tcPr>
          <w:p w14:paraId="22C651BF">
            <w:pPr>
              <w:pStyle w:val="55"/>
              <w:spacing w:before="31" w:after="31"/>
              <w:jc w:val="left"/>
              <w:rPr>
                <w:kern w:val="0"/>
              </w:rPr>
            </w:pPr>
            <w:r>
              <w:rPr>
                <w:kern w:val="0"/>
              </w:rPr>
              <w:t>原墙体截面抗震受剪承载力，按现行国家标准《砌体结构设计规范》GB 50003计算；被加固墙体为空斗墙时，可不考虑原墙体的抗震受剪承载力，即</w:t>
            </w:r>
            <w:r>
              <w:rPr>
                <w:position w:val="-10"/>
              </w:rPr>
              <w:object>
                <v:shape id="_x0000_i1115" o:spt="75" type="#_x0000_t75" style="height:19.9pt;width:30.65pt;" o:ole="t" filled="f" o:preferrelative="t" stroked="f" coordsize="21600,21600">
                  <v:path/>
                  <v:fill on="f" focussize="0,0"/>
                  <v:stroke on="f" joinstyle="miter"/>
                  <v:imagedata r:id="rId189" o:title=""/>
                  <o:lock v:ext="edit" aspectratio="t"/>
                  <w10:wrap type="none"/>
                  <w10:anchorlock/>
                </v:shape>
                <o:OLEObject Type="Embed" ProgID="Equation.DSMT4" ShapeID="_x0000_i1115" DrawAspect="Content" ObjectID="_1468075813" r:id="rId188">
                  <o:LockedField>false</o:LockedField>
                </o:OLEObject>
              </w:object>
            </w:r>
            <w:r>
              <w:rPr>
                <w:kern w:val="0"/>
              </w:rPr>
              <w:t>=0</w:t>
            </w:r>
            <w:r>
              <w:t>；</w:t>
            </w:r>
          </w:p>
        </w:tc>
      </w:tr>
      <w:tr w14:paraId="2E25FA83">
        <w:tblPrEx>
          <w:tblCellMar>
            <w:top w:w="0" w:type="dxa"/>
            <w:left w:w="108" w:type="dxa"/>
            <w:bottom w:w="0" w:type="dxa"/>
            <w:right w:w="108" w:type="dxa"/>
          </w:tblCellMar>
        </w:tblPrEx>
        <w:trPr>
          <w:trHeight w:val="257" w:hRule="atLeast"/>
        </w:trPr>
        <w:tc>
          <w:tcPr>
            <w:tcW w:w="1474" w:type="dxa"/>
          </w:tcPr>
          <w:p w14:paraId="46B91B17">
            <w:pPr>
              <w:pStyle w:val="55"/>
              <w:spacing w:before="31" w:after="31"/>
              <w:rPr>
                <w:kern w:val="0"/>
              </w:rPr>
            </w:pPr>
            <w:r>
              <w:rPr>
                <w:position w:val="-10"/>
              </w:rPr>
              <w:object>
                <v:shape id="_x0000_i1116" o:spt="75" type="#_x0000_t75" style="height:19.9pt;width:19.9pt;" o:ole="t" filled="f" o:preferrelative="t" stroked="f" coordsize="21600,21600">
                  <v:path/>
                  <v:fill on="f" focussize="0,0"/>
                  <v:stroke on="f" joinstyle="miter"/>
                  <v:imagedata r:id="rId158" o:title=""/>
                  <o:lock v:ext="edit" aspectratio="t"/>
                  <w10:wrap type="none"/>
                  <w10:anchorlock/>
                </v:shape>
                <o:OLEObject Type="Embed" ProgID="Equation.DSMT4" ShapeID="_x0000_i1116" DrawAspect="Content" ObjectID="_1468075814" r:id="rId190">
                  <o:LockedField>false</o:LockedField>
                </o:OLEObject>
              </w:object>
            </w:r>
            <w:r>
              <w:rPr>
                <w:kern w:val="0"/>
              </w:rPr>
              <w:t>——</w:t>
            </w:r>
          </w:p>
        </w:tc>
        <w:tc>
          <w:tcPr>
            <w:tcW w:w="6448" w:type="dxa"/>
            <w:vAlign w:val="center"/>
          </w:tcPr>
          <w:p w14:paraId="46510B29">
            <w:pPr>
              <w:pStyle w:val="55"/>
              <w:spacing w:before="31" w:after="31"/>
              <w:jc w:val="left"/>
              <w:rPr>
                <w:kern w:val="0"/>
              </w:rPr>
            </w:pPr>
            <w:r>
              <w:rPr>
                <w:kern w:val="0"/>
              </w:rPr>
              <w:t>采用高延性混凝土加固后提高的受剪承载力，按本规程5.3.2条计算；</w:t>
            </w:r>
          </w:p>
        </w:tc>
      </w:tr>
      <w:tr w14:paraId="4F48978E">
        <w:tblPrEx>
          <w:tblCellMar>
            <w:top w:w="0" w:type="dxa"/>
            <w:left w:w="108" w:type="dxa"/>
            <w:bottom w:w="0" w:type="dxa"/>
            <w:right w:w="108" w:type="dxa"/>
          </w:tblCellMar>
        </w:tblPrEx>
        <w:trPr>
          <w:trHeight w:val="397" w:hRule="atLeast"/>
        </w:trPr>
        <w:tc>
          <w:tcPr>
            <w:tcW w:w="1474" w:type="dxa"/>
          </w:tcPr>
          <w:p w14:paraId="02084C89">
            <w:pPr>
              <w:pStyle w:val="55"/>
              <w:spacing w:before="31" w:after="31"/>
              <w:rPr>
                <w:kern w:val="0"/>
              </w:rPr>
            </w:pPr>
            <w:r>
              <w:rPr>
                <w:position w:val="-10"/>
              </w:rPr>
              <w:object>
                <v:shape id="_x0000_i1117" o:spt="75" type="#_x0000_t75" style="height:19.9pt;width:30.65pt;" o:ole="t" filled="f" o:preferrelative="t" stroked="f" coordsize="21600,21600">
                  <v:path/>
                  <v:fill on="f" focussize="0,0"/>
                  <v:stroke on="f" joinstyle="miter"/>
                  <v:imagedata r:id="rId192" o:title=""/>
                  <o:lock v:ext="edit" aspectratio="t"/>
                  <w10:wrap type="none"/>
                  <w10:anchorlock/>
                </v:shape>
                <o:OLEObject Type="Embed" ProgID="Equation.DSMT4" ShapeID="_x0000_i1117" DrawAspect="Content" ObjectID="_1468075815" r:id="rId191">
                  <o:LockedField>false</o:LockedField>
                </o:OLEObject>
              </w:object>
            </w:r>
            <w:r>
              <w:rPr>
                <w:kern w:val="0"/>
              </w:rPr>
              <w:t>——</w:t>
            </w:r>
          </w:p>
        </w:tc>
        <w:tc>
          <w:tcPr>
            <w:tcW w:w="6448" w:type="dxa"/>
            <w:vAlign w:val="center"/>
          </w:tcPr>
          <w:p w14:paraId="136CC830">
            <w:pPr>
              <w:pStyle w:val="55"/>
              <w:spacing w:before="31" w:after="31"/>
              <w:jc w:val="left"/>
              <w:rPr>
                <w:kern w:val="0"/>
              </w:rPr>
            </w:pPr>
            <w:r>
              <w:rPr>
                <w:kern w:val="0"/>
              </w:rPr>
              <w:t>承载力抗震调整系数，取</w:t>
            </w:r>
            <w:r>
              <w:rPr>
                <w:position w:val="-10"/>
              </w:rPr>
              <w:object>
                <v:shape id="_x0000_i1118" o:spt="75" type="#_x0000_t75" style="height:19.9pt;width:30.65pt;" o:ole="t" filled="f" o:preferrelative="t" stroked="f" coordsize="21600,21600">
                  <v:path/>
                  <v:fill on="f" focussize="0,0"/>
                  <v:stroke on="f" joinstyle="miter"/>
                  <v:imagedata r:id="rId192" o:title=""/>
                  <o:lock v:ext="edit" aspectratio="t"/>
                  <w10:wrap type="none"/>
                  <w10:anchorlock/>
                </v:shape>
                <o:OLEObject Type="Embed" ProgID="Equation.DSMT4" ShapeID="_x0000_i1118" DrawAspect="Content" ObjectID="_1468075816" r:id="rId193">
                  <o:LockedField>false</o:LockedField>
                </o:OLEObject>
              </w:object>
            </w:r>
            <w:r>
              <w:rPr>
                <w:kern w:val="0"/>
              </w:rPr>
              <w:t>为0.85。</w:t>
            </w:r>
          </w:p>
        </w:tc>
      </w:tr>
    </w:tbl>
    <w:p w14:paraId="2EEB0352">
      <w:pPr>
        <w:pStyle w:val="4"/>
      </w:pPr>
      <w:r>
        <w:rPr>
          <w:rFonts w:hint="eastAsia"/>
          <w:b/>
          <w:iCs/>
        </w:rPr>
        <w:t>5.4.2</w:t>
      </w:r>
      <w:r>
        <w:rPr>
          <w:b/>
        </w:rPr>
        <w:t xml:space="preserve"> </w:t>
      </w:r>
      <w:r>
        <w:t xml:space="preserve"> </w:t>
      </w:r>
      <w:r>
        <w:rPr>
          <w:rFonts w:hint="eastAsia"/>
        </w:rPr>
        <w:t>高延性混凝土加固后的砌体结构楼层和墙段的综合抗震能力指数应按下式计算：</w:t>
      </w:r>
    </w:p>
    <w:p w14:paraId="08EB2760">
      <w:pPr>
        <w:tabs>
          <w:tab w:val="left" w:pos="2565"/>
        </w:tabs>
        <w:wordWrap w:val="0"/>
        <w:spacing w:after="312" w:line="312" w:lineRule="auto"/>
        <w:ind w:firstLine="420"/>
        <w:jc w:val="right"/>
      </w:pPr>
      <w:r>
        <w:rPr>
          <w:position w:val="-10"/>
        </w:rPr>
        <w:object>
          <v:shape id="_x0000_i1119" o:spt="75" type="#_x0000_t75" style="height:19.9pt;width:85.45pt;" o:ole="t" filled="f" o:preferrelative="t" stroked="f" coordsize="21600,21600">
            <v:path/>
            <v:fill on="f" focussize="0,0"/>
            <v:stroke on="f" joinstyle="miter"/>
            <v:imagedata r:id="rId195" o:title=""/>
            <o:lock v:ext="edit" aspectratio="t"/>
            <w10:wrap type="none"/>
            <w10:anchorlock/>
          </v:shape>
          <o:OLEObject Type="Embed" ProgID="Equation.DSMT4" ShapeID="_x0000_i1119" DrawAspect="Content" ObjectID="_1468075817" r:id="rId194">
            <o:LockedField>false</o:LockedField>
          </o:OLEObject>
        </w:object>
      </w:r>
      <w:r>
        <w:t xml:space="preserve">   </w:t>
      </w:r>
      <w:r>
        <w:rPr>
          <w:rFonts w:hint="eastAsia"/>
        </w:rPr>
        <w:t xml:space="preserve">     </w:t>
      </w:r>
      <w:r>
        <w:t xml:space="preserve">         </w:t>
      </w:r>
      <w:r>
        <w:rPr>
          <w:rFonts w:cs="Times New Roman"/>
          <w:sz w:val="28"/>
          <w:szCs w:val="28"/>
        </w:rPr>
        <w:t>（5.4.2）</w:t>
      </w:r>
    </w:p>
    <w:tbl>
      <w:tblPr>
        <w:tblStyle w:val="28"/>
        <w:tblW w:w="5000" w:type="pct"/>
        <w:tblInd w:w="0" w:type="dxa"/>
        <w:tblLayout w:type="autofit"/>
        <w:tblCellMar>
          <w:top w:w="0" w:type="dxa"/>
          <w:left w:w="108" w:type="dxa"/>
          <w:bottom w:w="0" w:type="dxa"/>
          <w:right w:w="108" w:type="dxa"/>
        </w:tblCellMar>
      </w:tblPr>
      <w:tblGrid>
        <w:gridCol w:w="1748"/>
        <w:gridCol w:w="6404"/>
      </w:tblGrid>
      <w:tr w14:paraId="57A9A4A2">
        <w:tblPrEx>
          <w:tblCellMar>
            <w:top w:w="0" w:type="dxa"/>
            <w:left w:w="108" w:type="dxa"/>
            <w:bottom w:w="0" w:type="dxa"/>
            <w:right w:w="108" w:type="dxa"/>
          </w:tblCellMar>
        </w:tblPrEx>
        <w:trPr>
          <w:trHeight w:val="397" w:hRule="atLeast"/>
        </w:trPr>
        <w:tc>
          <w:tcPr>
            <w:tcW w:w="1072" w:type="pct"/>
          </w:tcPr>
          <w:p w14:paraId="40524566">
            <w:pPr>
              <w:pStyle w:val="55"/>
              <w:spacing w:before="31" w:after="31"/>
            </w:pPr>
            <w:r>
              <w:rPr>
                <w:rFonts w:hint="eastAsia"/>
              </w:rPr>
              <w:t>式中：</w:t>
            </w:r>
          </w:p>
        </w:tc>
        <w:tc>
          <w:tcPr>
            <w:tcW w:w="3928" w:type="pct"/>
            <w:vAlign w:val="center"/>
          </w:tcPr>
          <w:p w14:paraId="2F3D2463">
            <w:pPr>
              <w:pStyle w:val="55"/>
              <w:spacing w:before="31" w:after="31"/>
              <w:rPr>
                <w:kern w:val="0"/>
              </w:rPr>
            </w:pPr>
          </w:p>
        </w:tc>
      </w:tr>
      <w:tr w14:paraId="5C3EAA45">
        <w:tblPrEx>
          <w:tblCellMar>
            <w:top w:w="0" w:type="dxa"/>
            <w:left w:w="108" w:type="dxa"/>
            <w:bottom w:w="0" w:type="dxa"/>
            <w:right w:w="108" w:type="dxa"/>
          </w:tblCellMar>
        </w:tblPrEx>
        <w:trPr>
          <w:trHeight w:val="397" w:hRule="atLeast"/>
        </w:trPr>
        <w:tc>
          <w:tcPr>
            <w:tcW w:w="1072" w:type="pct"/>
          </w:tcPr>
          <w:p w14:paraId="221DBD4F">
            <w:pPr>
              <w:pStyle w:val="55"/>
              <w:spacing w:before="31" w:after="31"/>
              <w:rPr>
                <w:position w:val="-10"/>
              </w:rPr>
            </w:pPr>
            <w:r>
              <w:object>
                <v:shape id="_x0000_i1120" o:spt="75" type="#_x0000_t75" style="height:19.9pt;width:19.9pt;" o:ole="t" filled="f" o:preferrelative="t" stroked="f" coordsize="21600,21600">
                  <v:path/>
                  <v:fill on="f" focussize="0,0"/>
                  <v:stroke on="f" joinstyle="miter"/>
                  <v:imagedata r:id="rId197" o:title=""/>
                  <o:lock v:ext="edit" aspectratio="t"/>
                  <w10:wrap type="none"/>
                  <w10:anchorlock/>
                </v:shape>
                <o:OLEObject Type="Embed" ProgID="Equation.DSMT4" ShapeID="_x0000_i1120" DrawAspect="Content" ObjectID="_1468075818" r:id="rId196">
                  <o:LockedField>false</o:LockedField>
                </o:OLEObject>
              </w:object>
            </w:r>
            <w:r>
              <w:rPr>
                <w:kern w:val="0"/>
              </w:rPr>
              <w:t>——</w:t>
            </w:r>
          </w:p>
        </w:tc>
        <w:tc>
          <w:tcPr>
            <w:tcW w:w="3928" w:type="pct"/>
            <w:vAlign w:val="center"/>
          </w:tcPr>
          <w:p w14:paraId="69F44D19">
            <w:pPr>
              <w:pStyle w:val="55"/>
              <w:spacing w:before="31" w:after="31"/>
              <w:rPr>
                <w:kern w:val="0"/>
              </w:rPr>
            </w:pPr>
            <w:r>
              <w:rPr>
                <w:kern w:val="0"/>
              </w:rPr>
              <w:t>加固后楼层或墙段的综合抗震能力指数；</w:t>
            </w:r>
          </w:p>
        </w:tc>
      </w:tr>
      <w:tr w14:paraId="0ACC4743">
        <w:tblPrEx>
          <w:tblCellMar>
            <w:top w:w="0" w:type="dxa"/>
            <w:left w:w="108" w:type="dxa"/>
            <w:bottom w:w="0" w:type="dxa"/>
            <w:right w:w="108" w:type="dxa"/>
          </w:tblCellMar>
        </w:tblPrEx>
        <w:trPr>
          <w:trHeight w:val="397" w:hRule="atLeast"/>
        </w:trPr>
        <w:tc>
          <w:tcPr>
            <w:tcW w:w="1072" w:type="pct"/>
          </w:tcPr>
          <w:p w14:paraId="6B17125F">
            <w:pPr>
              <w:pStyle w:val="55"/>
              <w:spacing w:before="31" w:after="31"/>
              <w:rPr>
                <w:kern w:val="0"/>
              </w:rPr>
            </w:pPr>
            <w:r>
              <w:rPr>
                <w:position w:val="-10"/>
              </w:rPr>
              <w:object>
                <v:shape id="_x0000_i1121" o:spt="75" type="#_x0000_t75" style="height:19.9pt;width:16.1pt;" o:ole="t" filled="f" o:preferrelative="t" stroked="f" coordsize="21600,21600">
                  <v:path/>
                  <v:fill on="f" focussize="0,0"/>
                  <v:stroke on="f" joinstyle="miter"/>
                  <v:imagedata r:id="rId199" o:title=""/>
                  <o:lock v:ext="edit" aspectratio="t"/>
                  <w10:wrap type="none"/>
                  <w10:anchorlock/>
                </v:shape>
                <o:OLEObject Type="Embed" ProgID="Equation.DSMT4" ShapeID="_x0000_i1121" DrawAspect="Content" ObjectID="_1468075819" r:id="rId198">
                  <o:LockedField>false</o:LockedField>
                </o:OLEObject>
              </w:object>
            </w:r>
            <w:r>
              <w:rPr>
                <w:kern w:val="0"/>
              </w:rPr>
              <w:t>——</w:t>
            </w:r>
          </w:p>
        </w:tc>
        <w:tc>
          <w:tcPr>
            <w:tcW w:w="3928" w:type="pct"/>
            <w:vAlign w:val="center"/>
          </w:tcPr>
          <w:p w14:paraId="6F28C9A2">
            <w:pPr>
              <w:pStyle w:val="55"/>
              <w:spacing w:before="31" w:after="31"/>
              <w:jc w:val="left"/>
              <w:rPr>
                <w:kern w:val="0"/>
              </w:rPr>
            </w:pPr>
            <w:r>
              <w:rPr>
                <w:kern w:val="0"/>
              </w:rPr>
              <w:t>加固增强系数，可按本规程第</w:t>
            </w:r>
            <w:r>
              <w:t>5.4.4条计算</w:t>
            </w:r>
            <w:r>
              <w:rPr>
                <w:kern w:val="0"/>
              </w:rPr>
              <w:t>；</w:t>
            </w:r>
          </w:p>
        </w:tc>
      </w:tr>
      <w:tr w14:paraId="1A5204CA">
        <w:tblPrEx>
          <w:tblCellMar>
            <w:top w:w="0" w:type="dxa"/>
            <w:left w:w="108" w:type="dxa"/>
            <w:bottom w:w="0" w:type="dxa"/>
            <w:right w:w="108" w:type="dxa"/>
          </w:tblCellMar>
        </w:tblPrEx>
        <w:trPr>
          <w:trHeight w:val="397" w:hRule="atLeast"/>
        </w:trPr>
        <w:tc>
          <w:tcPr>
            <w:tcW w:w="1072" w:type="pct"/>
          </w:tcPr>
          <w:p w14:paraId="59D68F1C">
            <w:pPr>
              <w:pStyle w:val="55"/>
              <w:spacing w:before="31" w:after="31"/>
              <w:rPr>
                <w:kern w:val="0"/>
              </w:rPr>
            </w:pPr>
            <w:r>
              <w:rPr>
                <w:position w:val="-12"/>
              </w:rPr>
              <w:object>
                <v:shape id="_x0000_i1122" o:spt="75" type="#_x0000_t75" style="height:19.9pt;width:19.9pt;" o:ole="t" filled="f" o:preferrelative="t" stroked="f" coordsize="21600,21600">
                  <v:path/>
                  <v:fill on="f" focussize="0,0"/>
                  <v:stroke on="f" joinstyle="miter"/>
                  <v:imagedata r:id="rId201" o:title=""/>
                  <o:lock v:ext="edit" aspectratio="t"/>
                  <w10:wrap type="none"/>
                  <w10:anchorlock/>
                </v:shape>
                <o:OLEObject Type="Embed" ProgID="Equation.DSMT4" ShapeID="_x0000_i1122" DrawAspect="Content" ObjectID="_1468075820" r:id="rId200">
                  <o:LockedField>false</o:LockedField>
                </o:OLEObject>
              </w:object>
            </w:r>
            <w:r>
              <w:rPr>
                <w:kern w:val="0"/>
              </w:rPr>
              <w:t>——</w:t>
            </w:r>
          </w:p>
        </w:tc>
        <w:tc>
          <w:tcPr>
            <w:tcW w:w="3928" w:type="pct"/>
            <w:vAlign w:val="center"/>
          </w:tcPr>
          <w:p w14:paraId="173D00BD">
            <w:pPr>
              <w:pStyle w:val="55"/>
              <w:spacing w:before="31" w:after="31"/>
              <w:jc w:val="left"/>
              <w:rPr>
                <w:b/>
                <w:kern w:val="0"/>
              </w:rPr>
            </w:pPr>
            <w:r>
              <w:rPr>
                <w:kern w:val="0"/>
              </w:rPr>
              <w:t>楼层或墙段原有的抗震能力指数，应分别按现行国家标准《建筑抗震鉴定标准》GB 50023规定的有关方法计算；</w:t>
            </w:r>
          </w:p>
        </w:tc>
      </w:tr>
      <w:tr w14:paraId="660E0EA2">
        <w:tblPrEx>
          <w:tblCellMar>
            <w:top w:w="0" w:type="dxa"/>
            <w:left w:w="108" w:type="dxa"/>
            <w:bottom w:w="0" w:type="dxa"/>
            <w:right w:w="108" w:type="dxa"/>
          </w:tblCellMar>
        </w:tblPrEx>
        <w:trPr>
          <w:trHeight w:val="397" w:hRule="atLeast"/>
        </w:trPr>
        <w:tc>
          <w:tcPr>
            <w:tcW w:w="1072" w:type="pct"/>
          </w:tcPr>
          <w:p w14:paraId="578E80B7">
            <w:pPr>
              <w:pStyle w:val="55"/>
              <w:spacing w:before="31" w:after="31"/>
              <w:rPr>
                <w:kern w:val="0"/>
              </w:rPr>
            </w:pPr>
            <w:r>
              <w:rPr>
                <w:position w:val="-12"/>
              </w:rPr>
              <w:object>
                <v:shape id="_x0000_i1123" o:spt="75" type="#_x0000_t75" style="height:16.65pt;width:16.65pt;" o:ole="t" filled="f" o:preferrelative="t" stroked="f" coordsize="21600,21600">
                  <v:path/>
                  <v:fill on="f" focussize="0,0"/>
                  <v:stroke on="f" joinstyle="miter"/>
                  <v:imagedata r:id="rId203" o:title=""/>
                  <o:lock v:ext="edit" aspectratio="t"/>
                  <w10:wrap type="none"/>
                  <w10:anchorlock/>
                </v:shape>
                <o:OLEObject Type="Embed" ProgID="Equation.DSMT4" ShapeID="_x0000_i1123" DrawAspect="Content" ObjectID="_1468075821" r:id="rId202">
                  <o:LockedField>false</o:LockedField>
                </o:OLEObject>
              </w:object>
            </w:r>
            <w:r>
              <w:rPr>
                <w:kern w:val="0"/>
              </w:rPr>
              <w:t>、</w:t>
            </w:r>
            <w:r>
              <w:rPr>
                <w:position w:val="-12"/>
              </w:rPr>
              <w:object>
                <v:shape id="_x0000_i1124" o:spt="75" type="#_x0000_t75" style="height:16.65pt;width:16.65pt;" o:ole="t" filled="f" o:preferrelative="t" stroked="f" coordsize="21600,21600">
                  <v:path/>
                  <v:fill on="f" focussize="0,0"/>
                  <v:stroke on="f" joinstyle="miter"/>
                  <v:imagedata r:id="rId205" o:title=""/>
                  <o:lock v:ext="edit" aspectratio="t"/>
                  <w10:wrap type="none"/>
                  <w10:anchorlock/>
                </v:shape>
                <o:OLEObject Type="Embed" ProgID="Equation.DSMT4" ShapeID="_x0000_i1124" DrawAspect="Content" ObjectID="_1468075822" r:id="rId204">
                  <o:LockedField>false</o:LockedField>
                </o:OLEObject>
              </w:object>
            </w:r>
            <w:r>
              <w:rPr>
                <w:kern w:val="0"/>
              </w:rPr>
              <w:t>——</w:t>
            </w:r>
          </w:p>
        </w:tc>
        <w:tc>
          <w:tcPr>
            <w:tcW w:w="3928" w:type="pct"/>
            <w:vAlign w:val="center"/>
          </w:tcPr>
          <w:p w14:paraId="10ECC353">
            <w:pPr>
              <w:pStyle w:val="55"/>
              <w:spacing w:before="31" w:after="31"/>
              <w:jc w:val="left"/>
              <w:rPr>
                <w:kern w:val="0"/>
              </w:rPr>
            </w:pPr>
            <w:r>
              <w:rPr>
                <w:kern w:val="0"/>
              </w:rPr>
              <w:t>分别为体系影响系数和局部影响系数，应根据房屋加固后的状况，按现行国家标准《建筑抗震鉴定标准》GB 50023的有关规定取值。</w:t>
            </w:r>
          </w:p>
        </w:tc>
      </w:tr>
    </w:tbl>
    <w:p w14:paraId="445441A1">
      <w:pPr>
        <w:pStyle w:val="4"/>
      </w:pPr>
      <w:r>
        <w:rPr>
          <w:b/>
        </w:rPr>
        <w:t>5.4.3</w:t>
      </w:r>
      <w:r>
        <w:t xml:space="preserve">  按现行国家标准《建筑抗震设计规范》GB 50011的规定只选择从属面积较大或竖向应力较小的墙段进行抗震承载力验算时，截面抗震受剪承载力可按下列公式验算：</w:t>
      </w:r>
    </w:p>
    <w:p w14:paraId="6F66A317">
      <w:pPr>
        <w:wordWrap w:val="0"/>
        <w:spacing w:after="312" w:line="312" w:lineRule="auto"/>
        <w:ind w:firstLine="560"/>
        <w:jc w:val="left"/>
        <w:rPr>
          <w:rFonts w:cs="Times New Roman"/>
          <w:sz w:val="28"/>
          <w:szCs w:val="28"/>
        </w:rPr>
      </w:pPr>
      <w:r>
        <w:rPr>
          <w:rFonts w:cs="Times New Roman"/>
          <w:sz w:val="28"/>
          <w:szCs w:val="28"/>
        </w:rPr>
        <w:t xml:space="preserve">计入构造影响时      </w:t>
      </w:r>
      <w:r>
        <w:rPr>
          <w:rFonts w:hint="eastAsia" w:cs="Times New Roman"/>
          <w:sz w:val="28"/>
          <w:szCs w:val="28"/>
        </w:rPr>
        <w:t xml:space="preserve"> </w:t>
      </w:r>
      <w:r>
        <w:rPr>
          <w:rFonts w:cs="Times New Roman"/>
          <w:sz w:val="28"/>
          <w:szCs w:val="28"/>
        </w:rPr>
        <w:t xml:space="preserve">  </w:t>
      </w:r>
      <w:r>
        <w:rPr>
          <w:rFonts w:cs="Times New Roman"/>
          <w:position w:val="-16"/>
          <w:sz w:val="28"/>
          <w:szCs w:val="28"/>
        </w:rPr>
        <w:object>
          <v:shape id="_x0000_i1125" o:spt="75" type="#_x0000_t75" style="height:19.9pt;width:96.2pt;" o:ole="t" filled="f" o:preferrelative="t" stroked="f" coordsize="21600,21600">
            <v:path/>
            <v:fill on="f" focussize="0,0"/>
            <v:stroke on="f" joinstyle="miter"/>
            <v:imagedata r:id="rId207" o:title=""/>
            <o:lock v:ext="edit" aspectratio="t"/>
            <w10:wrap type="none"/>
            <w10:anchorlock/>
          </v:shape>
          <o:OLEObject Type="Embed" ProgID="Equation.DSMT4" ShapeID="_x0000_i1125" DrawAspect="Content" ObjectID="_1468075823" r:id="rId206">
            <o:LockedField>false</o:LockedField>
          </o:OLEObject>
        </w:object>
      </w:r>
      <w:r>
        <w:rPr>
          <w:rFonts w:cs="Times New Roman"/>
          <w:sz w:val="28"/>
          <w:szCs w:val="28"/>
        </w:rPr>
        <w:t xml:space="preserve">  </w:t>
      </w:r>
      <w:r>
        <w:rPr>
          <w:rFonts w:hint="eastAsia" w:cs="Times New Roman"/>
          <w:sz w:val="28"/>
          <w:szCs w:val="28"/>
        </w:rPr>
        <w:t xml:space="preserve"> </w:t>
      </w:r>
      <w:r>
        <w:rPr>
          <w:rFonts w:cs="Times New Roman"/>
          <w:sz w:val="28"/>
          <w:szCs w:val="28"/>
        </w:rPr>
        <w:t xml:space="preserve"> </w:t>
      </w:r>
      <w:r>
        <w:rPr>
          <w:rFonts w:hint="eastAsia" w:cs="Times New Roman"/>
          <w:sz w:val="28"/>
          <w:szCs w:val="28"/>
        </w:rPr>
        <w:t xml:space="preserve">  </w:t>
      </w:r>
      <w:r>
        <w:rPr>
          <w:rFonts w:cs="Times New Roman"/>
          <w:sz w:val="28"/>
          <w:szCs w:val="28"/>
        </w:rPr>
        <w:t>（5.4.3-2）</w:t>
      </w:r>
    </w:p>
    <w:tbl>
      <w:tblPr>
        <w:tblStyle w:val="28"/>
        <w:tblW w:w="7933" w:type="dxa"/>
        <w:tblInd w:w="111" w:type="dxa"/>
        <w:tblLayout w:type="fixed"/>
        <w:tblCellMar>
          <w:top w:w="0" w:type="dxa"/>
          <w:left w:w="108" w:type="dxa"/>
          <w:bottom w:w="0" w:type="dxa"/>
          <w:right w:w="108" w:type="dxa"/>
        </w:tblCellMar>
      </w:tblPr>
      <w:tblGrid>
        <w:gridCol w:w="1474"/>
        <w:gridCol w:w="6459"/>
      </w:tblGrid>
      <w:tr w14:paraId="5973DFF2">
        <w:tblPrEx>
          <w:tblCellMar>
            <w:top w:w="0" w:type="dxa"/>
            <w:left w:w="108" w:type="dxa"/>
            <w:bottom w:w="0" w:type="dxa"/>
            <w:right w:w="108" w:type="dxa"/>
          </w:tblCellMar>
        </w:tblPrEx>
        <w:trPr>
          <w:trHeight w:val="397" w:hRule="atLeast"/>
        </w:trPr>
        <w:tc>
          <w:tcPr>
            <w:tcW w:w="1474" w:type="dxa"/>
          </w:tcPr>
          <w:p w14:paraId="4F8B8EE2">
            <w:pPr>
              <w:pStyle w:val="55"/>
              <w:spacing w:before="31" w:after="31"/>
            </w:pPr>
            <w:r>
              <w:t>式中：</w:t>
            </w:r>
          </w:p>
        </w:tc>
        <w:tc>
          <w:tcPr>
            <w:tcW w:w="6459" w:type="dxa"/>
            <w:vAlign w:val="center"/>
          </w:tcPr>
          <w:p w14:paraId="37F552BD">
            <w:pPr>
              <w:pStyle w:val="55"/>
              <w:spacing w:before="31" w:after="31"/>
              <w:rPr>
                <w:kern w:val="0"/>
              </w:rPr>
            </w:pPr>
          </w:p>
        </w:tc>
      </w:tr>
      <w:tr w14:paraId="78CABF10">
        <w:tblPrEx>
          <w:tblCellMar>
            <w:top w:w="0" w:type="dxa"/>
            <w:left w:w="108" w:type="dxa"/>
            <w:bottom w:w="0" w:type="dxa"/>
            <w:right w:w="108" w:type="dxa"/>
          </w:tblCellMar>
        </w:tblPrEx>
        <w:trPr>
          <w:trHeight w:val="397" w:hRule="atLeast"/>
        </w:trPr>
        <w:tc>
          <w:tcPr>
            <w:tcW w:w="1474" w:type="dxa"/>
          </w:tcPr>
          <w:p w14:paraId="4D632519">
            <w:pPr>
              <w:pStyle w:val="55"/>
              <w:spacing w:before="31" w:after="31"/>
              <w:rPr>
                <w:kern w:val="0"/>
              </w:rPr>
            </w:pPr>
            <w:r>
              <w:rPr>
                <w:position w:val="-6"/>
              </w:rPr>
              <w:object>
                <v:shape id="_x0000_i1126" o:spt="75" type="#_x0000_t75" style="height:16.65pt;width:13.45pt;" o:ole="t" filled="f" o:preferrelative="t" stroked="f" coordsize="21600,21600">
                  <v:path/>
                  <v:fill on="f" focussize="0,0"/>
                  <v:stroke on="f" joinstyle="miter"/>
                  <v:imagedata r:id="rId209" o:title=""/>
                  <o:lock v:ext="edit" aspectratio="t"/>
                  <w10:wrap type="none"/>
                  <w10:anchorlock/>
                </v:shape>
                <o:OLEObject Type="Embed" ProgID="Equation.DSMT4" ShapeID="_x0000_i1126" DrawAspect="Content" ObjectID="_1468075824" r:id="rId208">
                  <o:LockedField>false</o:LockedField>
                </o:OLEObject>
              </w:object>
            </w:r>
            <w:r>
              <w:rPr>
                <w:kern w:val="0"/>
              </w:rPr>
              <w:t>——</w:t>
            </w:r>
          </w:p>
        </w:tc>
        <w:tc>
          <w:tcPr>
            <w:tcW w:w="6459" w:type="dxa"/>
            <w:vAlign w:val="center"/>
          </w:tcPr>
          <w:p w14:paraId="6F931648">
            <w:pPr>
              <w:pStyle w:val="55"/>
              <w:spacing w:before="31" w:after="31"/>
              <w:jc w:val="left"/>
              <w:rPr>
                <w:kern w:val="0"/>
              </w:rPr>
            </w:pPr>
            <w:r>
              <w:rPr>
                <w:kern w:val="0"/>
              </w:rPr>
              <w:t>墙段的剪力设计值；</w:t>
            </w:r>
          </w:p>
        </w:tc>
      </w:tr>
      <w:tr w14:paraId="67D17603">
        <w:tblPrEx>
          <w:tblCellMar>
            <w:top w:w="0" w:type="dxa"/>
            <w:left w:w="108" w:type="dxa"/>
            <w:bottom w:w="0" w:type="dxa"/>
            <w:right w:w="108" w:type="dxa"/>
          </w:tblCellMar>
        </w:tblPrEx>
        <w:trPr>
          <w:trHeight w:val="397" w:hRule="atLeast"/>
        </w:trPr>
        <w:tc>
          <w:tcPr>
            <w:tcW w:w="1474" w:type="dxa"/>
          </w:tcPr>
          <w:p w14:paraId="1510D335">
            <w:pPr>
              <w:pStyle w:val="55"/>
              <w:spacing w:before="31" w:after="31"/>
              <w:rPr>
                <w:kern w:val="0"/>
              </w:rPr>
            </w:pPr>
            <w:r>
              <w:rPr>
                <w:position w:val="-14"/>
              </w:rPr>
              <w:object>
                <v:shape id="_x0000_i1127" o:spt="75" type="#_x0000_t75" style="height:23.65pt;width:25.25pt;" o:ole="t" filled="f" o:preferrelative="t" stroked="f" coordsize="21600,21600">
                  <v:path/>
                  <v:fill on="f" focussize="0,0"/>
                  <v:stroke on="f" joinstyle="miter"/>
                  <v:imagedata r:id="rId211" o:title=""/>
                  <o:lock v:ext="edit" aspectratio="t"/>
                  <w10:wrap type="none"/>
                  <w10:anchorlock/>
                </v:shape>
                <o:OLEObject Type="Embed" ProgID="Equation.DSMT4" ShapeID="_x0000_i1127" DrawAspect="Content" ObjectID="_1468075825" r:id="rId210">
                  <o:LockedField>false</o:LockedField>
                </o:OLEObject>
              </w:object>
            </w:r>
            <w:r>
              <w:rPr>
                <w:kern w:val="0"/>
              </w:rPr>
              <w:t>——</w:t>
            </w:r>
          </w:p>
        </w:tc>
        <w:tc>
          <w:tcPr>
            <w:tcW w:w="6457" w:type="dxa"/>
          </w:tcPr>
          <w:p w14:paraId="41835E9D">
            <w:pPr>
              <w:pStyle w:val="55"/>
              <w:spacing w:before="31" w:after="31"/>
              <w:jc w:val="left"/>
              <w:rPr>
                <w:kern w:val="0"/>
              </w:rPr>
            </w:pPr>
            <w:r>
              <w:rPr>
                <w:kern w:val="0"/>
              </w:rPr>
              <w:t>加固后第</w:t>
            </w:r>
            <w:r>
              <w:rPr>
                <w:i/>
                <w:iCs/>
                <w:kern w:val="0"/>
              </w:rPr>
              <w:t>i</w:t>
            </w:r>
            <w:r>
              <w:rPr>
                <w:kern w:val="0"/>
              </w:rPr>
              <w:t>楼层第</w:t>
            </w:r>
            <w:r>
              <w:rPr>
                <w:i/>
                <w:iCs/>
                <w:kern w:val="0"/>
              </w:rPr>
              <w:t>j</w:t>
            </w:r>
            <w:r>
              <w:rPr>
                <w:kern w:val="0"/>
              </w:rPr>
              <w:t>墙段抗震能力增强系数，按式（5.4.4-2）确定；</w:t>
            </w:r>
          </w:p>
        </w:tc>
      </w:tr>
      <w:tr w14:paraId="5331605A">
        <w:tblPrEx>
          <w:tblCellMar>
            <w:top w:w="0" w:type="dxa"/>
            <w:left w:w="108" w:type="dxa"/>
            <w:bottom w:w="0" w:type="dxa"/>
            <w:right w:w="108" w:type="dxa"/>
          </w:tblCellMar>
        </w:tblPrEx>
        <w:trPr>
          <w:trHeight w:val="397" w:hRule="atLeast"/>
        </w:trPr>
        <w:tc>
          <w:tcPr>
            <w:tcW w:w="1474" w:type="dxa"/>
          </w:tcPr>
          <w:p w14:paraId="69A94E25">
            <w:pPr>
              <w:pStyle w:val="55"/>
              <w:spacing w:before="31" w:after="31"/>
              <w:rPr>
                <w:kern w:val="0"/>
              </w:rPr>
            </w:pPr>
            <w:r>
              <w:rPr>
                <w:position w:val="-12"/>
              </w:rPr>
              <w:object>
                <v:shape id="_x0000_i1128" o:spt="75" type="#_x0000_t75" style="height:19.9pt;width:19.9pt;" o:ole="t" filled="f" o:preferrelative="t" stroked="f" coordsize="21600,21600">
                  <v:path/>
                  <v:fill on="f" focussize="0,0"/>
                  <v:stroke on="f" joinstyle="miter"/>
                  <v:imagedata r:id="rId213" o:title=""/>
                  <o:lock v:ext="edit" aspectratio="t"/>
                  <w10:wrap type="none"/>
                  <w10:anchorlock/>
                </v:shape>
                <o:OLEObject Type="Embed" ProgID="Equation.DSMT4" ShapeID="_x0000_i1128" DrawAspect="Content" ObjectID="_1468075826" r:id="rId212">
                  <o:LockedField>false</o:LockedField>
                </o:OLEObject>
              </w:object>
            </w:r>
            <w:r>
              <w:rPr>
                <w:kern w:val="0"/>
              </w:rPr>
              <w:t>——</w:t>
            </w:r>
          </w:p>
        </w:tc>
        <w:tc>
          <w:tcPr>
            <w:tcW w:w="6457" w:type="dxa"/>
            <w:vAlign w:val="center"/>
          </w:tcPr>
          <w:p w14:paraId="1F27C15A">
            <w:pPr>
              <w:pStyle w:val="55"/>
              <w:spacing w:before="31" w:after="31"/>
              <w:jc w:val="left"/>
              <w:rPr>
                <w:kern w:val="0"/>
              </w:rPr>
            </w:pPr>
            <w:r>
              <w:rPr>
                <w:kern w:val="0"/>
              </w:rPr>
              <w:t>墙段原有的抗震受剪承载力，可按现行国家标准《建筑抗震设计规范》GB 50011有关规定计算；但其中的材料性能设计指标、承载力抗震调整系数应按现行行业标准《建筑抗震加固技术规程》JGJ 116的有关规定采用。空斗墙抗震加固应采用式</w:t>
            </w:r>
            <w:r>
              <w:t>（5.4.1）验算截面抗震受剪承载力。</w:t>
            </w:r>
          </w:p>
        </w:tc>
      </w:tr>
    </w:tbl>
    <w:p w14:paraId="284A418D">
      <w:pPr>
        <w:pStyle w:val="4"/>
      </w:pPr>
      <w:r>
        <w:rPr>
          <w:b/>
        </w:rPr>
        <w:t>5.4.4</w:t>
      </w:r>
      <w:r>
        <w:t xml:space="preserve">  楼层抗震能力的增强系数可按下列公式计算：</w:t>
      </w:r>
    </w:p>
    <w:p w14:paraId="43C1846E">
      <w:pPr>
        <w:wordWrap w:val="0"/>
        <w:spacing w:after="312" w:line="264" w:lineRule="auto"/>
        <w:ind w:firstLine="420"/>
        <w:jc w:val="right"/>
      </w:pPr>
      <w:r>
        <w:rPr>
          <w:position w:val="-34"/>
        </w:rPr>
        <w:object>
          <v:shape id="_x0000_i1129" o:spt="75" type="#_x0000_t75" style="height:66.1pt;width:145.6pt;" o:ole="t" filled="f" o:preferrelative="t" stroked="f" coordsize="21600,21600">
            <v:path/>
            <v:fill on="f" focussize="0,0"/>
            <v:stroke on="f" joinstyle="miter"/>
            <v:imagedata r:id="rId215" o:title=""/>
            <o:lock v:ext="edit" aspectratio="t"/>
            <w10:wrap type="none"/>
            <w10:anchorlock/>
          </v:shape>
          <o:OLEObject Type="Embed" ProgID="Equation.DSMT4" ShapeID="_x0000_i1129" DrawAspect="Content" ObjectID="_1468075827" r:id="rId214">
            <o:LockedField>false</o:LockedField>
          </o:OLEObject>
        </w:object>
      </w:r>
      <w:r>
        <w:t xml:space="preserve">      </w:t>
      </w:r>
      <w:r>
        <w:rPr>
          <w:rFonts w:hint="eastAsia"/>
        </w:rPr>
        <w:t xml:space="preserve">          </w:t>
      </w:r>
      <w:r>
        <w:t xml:space="preserve">   </w:t>
      </w:r>
      <w:r>
        <w:rPr>
          <w:rFonts w:cs="Times New Roman"/>
          <w:sz w:val="28"/>
          <w:szCs w:val="28"/>
        </w:rPr>
        <w:t>（5.4.4-1）</w:t>
      </w:r>
    </w:p>
    <w:p w14:paraId="7202515D">
      <w:pPr>
        <w:wordWrap w:val="0"/>
        <w:spacing w:after="312" w:line="264" w:lineRule="auto"/>
        <w:ind w:firstLine="420"/>
        <w:jc w:val="right"/>
      </w:pPr>
      <w:r>
        <w:rPr>
          <w:position w:val="-28"/>
        </w:rPr>
        <w:object>
          <v:shape id="_x0000_i1130" o:spt="75" type="#_x0000_t75" style="height:43.5pt;width:108pt;" o:ole="t" filled="f" o:preferrelative="t" stroked="f" coordsize="21600,21600">
            <v:path/>
            <v:fill on="f" focussize="0,0"/>
            <v:stroke on="f" joinstyle="miter"/>
            <v:imagedata r:id="rId217" o:title=""/>
            <o:lock v:ext="edit" aspectratio="t"/>
            <w10:wrap type="none"/>
            <w10:anchorlock/>
          </v:shape>
          <o:OLEObject Type="Embed" ProgID="Equation.DSMT4" ShapeID="_x0000_i1130" DrawAspect="Content" ObjectID="_1468075828" r:id="rId216">
            <o:LockedField>false</o:LockedField>
          </o:OLEObject>
        </w:object>
      </w:r>
      <w:r>
        <w:t xml:space="preserve">    </w:t>
      </w:r>
      <w:r>
        <w:rPr>
          <w:rFonts w:hint="eastAsia"/>
        </w:rPr>
        <w:t xml:space="preserve">              </w:t>
      </w:r>
      <w:r>
        <w:t xml:space="preserve">    </w:t>
      </w:r>
      <w:r>
        <w:rPr>
          <w:rFonts w:cs="Times New Roman"/>
          <w:sz w:val="28"/>
          <w:szCs w:val="28"/>
        </w:rPr>
        <w:t>（5.4.4-2）</w:t>
      </w:r>
    </w:p>
    <w:tbl>
      <w:tblPr>
        <w:tblStyle w:val="28"/>
        <w:tblW w:w="7934" w:type="dxa"/>
        <w:tblInd w:w="108" w:type="dxa"/>
        <w:tblLayout w:type="fixed"/>
        <w:tblCellMar>
          <w:top w:w="0" w:type="dxa"/>
          <w:left w:w="108" w:type="dxa"/>
          <w:bottom w:w="0" w:type="dxa"/>
          <w:right w:w="108" w:type="dxa"/>
        </w:tblCellMar>
      </w:tblPr>
      <w:tblGrid>
        <w:gridCol w:w="1474"/>
        <w:gridCol w:w="6460"/>
      </w:tblGrid>
      <w:tr w14:paraId="16F658F5">
        <w:tblPrEx>
          <w:tblCellMar>
            <w:top w:w="0" w:type="dxa"/>
            <w:left w:w="108" w:type="dxa"/>
            <w:bottom w:w="0" w:type="dxa"/>
            <w:right w:w="108" w:type="dxa"/>
          </w:tblCellMar>
        </w:tblPrEx>
        <w:trPr>
          <w:trHeight w:val="397" w:hRule="atLeast"/>
        </w:trPr>
        <w:tc>
          <w:tcPr>
            <w:tcW w:w="1474" w:type="dxa"/>
          </w:tcPr>
          <w:p w14:paraId="5DF86215">
            <w:pPr>
              <w:pStyle w:val="55"/>
              <w:spacing w:before="31" w:after="31"/>
            </w:pPr>
            <w:r>
              <w:t>式中：</w:t>
            </w:r>
          </w:p>
        </w:tc>
        <w:tc>
          <w:tcPr>
            <w:tcW w:w="6460" w:type="dxa"/>
            <w:vAlign w:val="center"/>
          </w:tcPr>
          <w:p w14:paraId="1CD79EDE">
            <w:pPr>
              <w:pStyle w:val="55"/>
              <w:spacing w:before="31" w:after="31"/>
              <w:rPr>
                <w:kern w:val="0"/>
              </w:rPr>
            </w:pPr>
          </w:p>
        </w:tc>
      </w:tr>
      <w:tr w14:paraId="7354743B">
        <w:tblPrEx>
          <w:tblCellMar>
            <w:top w:w="0" w:type="dxa"/>
            <w:left w:w="108" w:type="dxa"/>
            <w:bottom w:w="0" w:type="dxa"/>
            <w:right w:w="108" w:type="dxa"/>
          </w:tblCellMar>
        </w:tblPrEx>
        <w:trPr>
          <w:trHeight w:val="397" w:hRule="atLeast"/>
        </w:trPr>
        <w:tc>
          <w:tcPr>
            <w:tcW w:w="1474" w:type="dxa"/>
          </w:tcPr>
          <w:p w14:paraId="03BF6C39">
            <w:pPr>
              <w:pStyle w:val="55"/>
              <w:spacing w:before="31" w:after="31"/>
            </w:pPr>
            <w:r>
              <w:rPr>
                <w:position w:val="-14"/>
              </w:rPr>
              <w:object>
                <v:shape id="_x0000_i1131" o:spt="75" type="#_x0000_t75" style="height:23.65pt;width:19.9pt;" o:ole="t" filled="f" o:preferrelative="t" stroked="f" coordsize="21600,21600">
                  <v:path/>
                  <v:fill on="f" focussize="0,0"/>
                  <v:stroke on="f" joinstyle="miter"/>
                  <v:imagedata r:id="rId219" o:title=""/>
                  <o:lock v:ext="edit" aspectratio="t"/>
                  <w10:wrap type="none"/>
                  <w10:anchorlock/>
                </v:shape>
                <o:OLEObject Type="Embed" ProgID="Equation.DSMT4" ShapeID="_x0000_i1131" DrawAspect="Content" ObjectID="_1468075829" r:id="rId218">
                  <o:LockedField>false</o:LockedField>
                </o:OLEObject>
              </w:object>
            </w:r>
            <w:r>
              <w:t>——</w:t>
            </w:r>
          </w:p>
        </w:tc>
        <w:tc>
          <w:tcPr>
            <w:tcW w:w="6460" w:type="dxa"/>
            <w:vAlign w:val="center"/>
          </w:tcPr>
          <w:p w14:paraId="61A7898B">
            <w:pPr>
              <w:pStyle w:val="55"/>
              <w:spacing w:before="31" w:after="31"/>
              <w:jc w:val="left"/>
              <w:rPr>
                <w:kern w:val="0"/>
              </w:rPr>
            </w:pPr>
            <w:r>
              <w:rPr>
                <w:kern w:val="0"/>
              </w:rPr>
              <w:t>高延性混凝土加固后第</w:t>
            </w:r>
            <w:r>
              <w:rPr>
                <w:i/>
                <w:kern w:val="0"/>
              </w:rPr>
              <w:t>i</w:t>
            </w:r>
            <w:r>
              <w:rPr>
                <w:kern w:val="0"/>
              </w:rPr>
              <w:t>楼层抗震能力的增强系数；</w:t>
            </w:r>
          </w:p>
        </w:tc>
      </w:tr>
      <w:tr w14:paraId="506A2E74">
        <w:tblPrEx>
          <w:tblCellMar>
            <w:top w:w="0" w:type="dxa"/>
            <w:left w:w="108" w:type="dxa"/>
            <w:bottom w:w="0" w:type="dxa"/>
            <w:right w:w="108" w:type="dxa"/>
          </w:tblCellMar>
        </w:tblPrEx>
        <w:trPr>
          <w:trHeight w:val="397" w:hRule="atLeast"/>
        </w:trPr>
        <w:tc>
          <w:tcPr>
            <w:tcW w:w="1474" w:type="dxa"/>
          </w:tcPr>
          <w:p w14:paraId="09FBFA5E">
            <w:pPr>
              <w:pStyle w:val="55"/>
              <w:spacing w:before="31" w:after="31"/>
              <w:rPr>
                <w:kern w:val="0"/>
              </w:rPr>
            </w:pPr>
            <w:r>
              <w:rPr>
                <w:position w:val="-14"/>
              </w:rPr>
              <w:object>
                <v:shape id="_x0000_i1132" o:spt="75" type="#_x0000_t75" style="height:23.65pt;width:20.95pt;" o:ole="t" filled="f" o:preferrelative="t" stroked="f" coordsize="21600,21600">
                  <v:path/>
                  <v:fill on="f" focussize="0,0"/>
                  <v:stroke on="f" joinstyle="miter"/>
                  <v:imagedata r:id="rId221" o:title=""/>
                  <o:lock v:ext="edit" aspectratio="t"/>
                  <w10:wrap type="none"/>
                  <w10:anchorlock/>
                </v:shape>
                <o:OLEObject Type="Embed" ProgID="Equation.DSMT4" ShapeID="_x0000_i1132" DrawAspect="Content" ObjectID="_1468075830" r:id="rId220">
                  <o:LockedField>false</o:LockedField>
                </o:OLEObject>
              </w:object>
            </w:r>
            <w:r>
              <w:rPr>
                <w:kern w:val="0"/>
                <w:position w:val="-4"/>
              </w:rPr>
              <w:t>——</w:t>
            </w:r>
          </w:p>
        </w:tc>
        <w:tc>
          <w:tcPr>
            <w:tcW w:w="6460" w:type="dxa"/>
            <w:vAlign w:val="center"/>
          </w:tcPr>
          <w:p w14:paraId="22C0903D">
            <w:pPr>
              <w:pStyle w:val="55"/>
              <w:spacing w:before="31" w:after="31"/>
              <w:jc w:val="left"/>
              <w:rPr>
                <w:kern w:val="0"/>
              </w:rPr>
            </w:pPr>
            <w:r>
              <w:rPr>
                <w:kern w:val="0"/>
              </w:rPr>
              <w:t>第</w:t>
            </w:r>
            <w:r>
              <w:rPr>
                <w:i/>
                <w:kern w:val="0"/>
              </w:rPr>
              <w:t>i</w:t>
            </w:r>
            <w:r>
              <w:rPr>
                <w:kern w:val="0"/>
              </w:rPr>
              <w:t>楼层第</w:t>
            </w:r>
            <w:r>
              <w:rPr>
                <w:i/>
                <w:kern w:val="0"/>
              </w:rPr>
              <w:t>j</w:t>
            </w:r>
            <w:r>
              <w:rPr>
                <w:kern w:val="0"/>
              </w:rPr>
              <w:t>墙段高延性混凝土面层加固的增强系数；高延性混凝土面层加固时，</w:t>
            </w:r>
            <w:r>
              <w:rPr>
                <w:position w:val="-14"/>
              </w:rPr>
              <w:object>
                <v:shape id="_x0000_i1133" o:spt="75" type="#_x0000_t75" style="height:19.9pt;width:19.9pt;" o:ole="t" filled="f" o:preferrelative="t" stroked="f" coordsize="21600,21600">
                  <v:path/>
                  <v:fill on="f" focussize="0,0"/>
                  <v:stroke on="f" joinstyle="miter"/>
                  <v:imagedata r:id="rId221" o:title=""/>
                  <o:lock v:ext="edit" aspectratio="t"/>
                  <w10:wrap type="none"/>
                  <w10:anchorlock/>
                </v:shape>
                <o:OLEObject Type="Embed" ProgID="Equation.DSMT4" ShapeID="_x0000_i1133" DrawAspect="Content" ObjectID="_1468075831" r:id="rId222">
                  <o:LockedField>false</o:LockedField>
                </o:OLEObject>
              </w:object>
            </w:r>
            <w:r>
              <w:rPr>
                <w:kern w:val="0"/>
              </w:rPr>
              <w:t>取值不大于3.00；配筋高延性混凝土面层加固时，</w:t>
            </w:r>
            <w:r>
              <w:rPr>
                <w:position w:val="-14"/>
              </w:rPr>
              <w:object>
                <v:shape id="_x0000_i1134" o:spt="75" type="#_x0000_t75" style="height:19.9pt;width:13.45pt;" o:ole="t" filled="f" o:preferrelative="t" stroked="f" coordsize="21600,21600">
                  <v:path/>
                  <v:fill on="f" focussize="0,0"/>
                  <v:stroke on="f" joinstyle="miter"/>
                  <v:imagedata r:id="rId224" o:title=""/>
                  <o:lock v:ext="edit" aspectratio="t"/>
                  <w10:wrap type="none"/>
                  <w10:anchorlock/>
                </v:shape>
                <o:OLEObject Type="Embed" ProgID="Equation.DSMT4" ShapeID="_x0000_i1134" DrawAspect="Content" ObjectID="_1468075832" r:id="rId223">
                  <o:LockedField>false</o:LockedField>
                </o:OLEObject>
              </w:object>
            </w:r>
            <w:r>
              <w:rPr>
                <w:kern w:val="0"/>
              </w:rPr>
              <w:t>取值不大于5.00；</w:t>
            </w:r>
          </w:p>
        </w:tc>
      </w:tr>
      <w:tr w14:paraId="52B0DC3C">
        <w:tblPrEx>
          <w:tblCellMar>
            <w:top w:w="0" w:type="dxa"/>
            <w:left w:w="108" w:type="dxa"/>
            <w:bottom w:w="0" w:type="dxa"/>
            <w:right w:w="108" w:type="dxa"/>
          </w:tblCellMar>
        </w:tblPrEx>
        <w:trPr>
          <w:trHeight w:val="888" w:hRule="atLeast"/>
        </w:trPr>
        <w:tc>
          <w:tcPr>
            <w:tcW w:w="1474" w:type="dxa"/>
          </w:tcPr>
          <w:p w14:paraId="1484FE1F">
            <w:pPr>
              <w:pStyle w:val="55"/>
              <w:spacing w:before="31" w:after="31"/>
              <w:rPr>
                <w:kern w:val="0"/>
              </w:rPr>
            </w:pPr>
            <w:r>
              <w:rPr>
                <w:position w:val="-10"/>
              </w:rPr>
              <w:object>
                <v:shape id="_x0000_i1135" o:spt="75" type="#_x0000_t75" style="height:23.65pt;width:23.65pt;" o:ole="t" filled="f" o:preferrelative="t" stroked="f" coordsize="21600,21600">
                  <v:path/>
                  <v:fill on="f" focussize="0,0"/>
                  <v:stroke on="f" joinstyle="miter"/>
                  <v:imagedata r:id="rId226" o:title=""/>
                  <o:lock v:ext="edit" aspectratio="t"/>
                  <w10:wrap type="none"/>
                  <w10:anchorlock/>
                </v:shape>
                <o:OLEObject Type="Embed" ProgID="Equation.DSMT4" ShapeID="_x0000_i1135" DrawAspect="Content" ObjectID="_1468075833" r:id="rId225">
                  <o:LockedField>false</o:LockedField>
                </o:OLEObject>
              </w:object>
            </w:r>
            <w:r>
              <w:rPr>
                <w:kern w:val="0"/>
                <w:position w:val="-4"/>
              </w:rPr>
              <w:t>——</w:t>
            </w:r>
          </w:p>
        </w:tc>
        <w:tc>
          <w:tcPr>
            <w:tcW w:w="6460" w:type="dxa"/>
            <w:vAlign w:val="center"/>
          </w:tcPr>
          <w:p w14:paraId="4D15A6E7">
            <w:pPr>
              <w:pStyle w:val="55"/>
              <w:spacing w:before="31" w:after="31"/>
              <w:jc w:val="left"/>
              <w:rPr>
                <w:kern w:val="0"/>
              </w:rPr>
            </w:pPr>
            <w:r>
              <w:rPr>
                <w:kern w:val="0"/>
              </w:rPr>
              <w:t>第</w:t>
            </w:r>
            <w:r>
              <w:rPr>
                <w:i/>
                <w:kern w:val="0"/>
              </w:rPr>
              <w:t>i</w:t>
            </w:r>
            <w:r>
              <w:rPr>
                <w:kern w:val="0"/>
              </w:rPr>
              <w:t>楼层中验算方向原有抗震墙在1/2层高处净截面的面积；</w:t>
            </w:r>
          </w:p>
        </w:tc>
      </w:tr>
      <w:tr w14:paraId="0274A539">
        <w:tblPrEx>
          <w:tblCellMar>
            <w:top w:w="0" w:type="dxa"/>
            <w:left w:w="108" w:type="dxa"/>
            <w:bottom w:w="0" w:type="dxa"/>
            <w:right w:w="108" w:type="dxa"/>
          </w:tblCellMar>
        </w:tblPrEx>
        <w:trPr>
          <w:trHeight w:val="397" w:hRule="atLeast"/>
        </w:trPr>
        <w:tc>
          <w:tcPr>
            <w:tcW w:w="1474" w:type="dxa"/>
          </w:tcPr>
          <w:p w14:paraId="65FDCE59">
            <w:pPr>
              <w:pStyle w:val="55"/>
              <w:spacing w:before="31" w:after="31"/>
              <w:rPr>
                <w:kern w:val="0"/>
              </w:rPr>
            </w:pPr>
            <w:r>
              <w:rPr>
                <w:position w:val="-14"/>
              </w:rPr>
              <w:object>
                <v:shape id="_x0000_i1136" o:spt="75" type="#_x0000_t75" style="height:23.65pt;width:23.65pt;" o:ole="t" filled="f" o:preferrelative="t" stroked="f" coordsize="21600,21600">
                  <v:path/>
                  <v:fill on="f" focussize="0,0"/>
                  <v:stroke on="f" joinstyle="miter"/>
                  <v:imagedata r:id="rId228" o:title=""/>
                  <o:lock v:ext="edit" aspectratio="t"/>
                  <w10:wrap type="none"/>
                  <w10:anchorlock/>
                </v:shape>
                <o:OLEObject Type="Embed" ProgID="Equation.DSMT4" ShapeID="_x0000_i1136" DrawAspect="Content" ObjectID="_1468075834" r:id="rId227">
                  <o:LockedField>false</o:LockedField>
                </o:OLEObject>
              </w:object>
            </w:r>
            <w:r>
              <w:rPr>
                <w:kern w:val="0"/>
              </w:rPr>
              <w:t>——</w:t>
            </w:r>
          </w:p>
        </w:tc>
        <w:tc>
          <w:tcPr>
            <w:tcW w:w="6460" w:type="dxa"/>
            <w:vAlign w:val="center"/>
          </w:tcPr>
          <w:p w14:paraId="54E22364">
            <w:pPr>
              <w:pStyle w:val="55"/>
              <w:spacing w:before="31" w:after="31"/>
              <w:jc w:val="left"/>
              <w:rPr>
                <w:kern w:val="0"/>
              </w:rPr>
            </w:pPr>
            <w:r>
              <w:rPr>
                <w:kern w:val="0"/>
              </w:rPr>
              <w:t>第</w:t>
            </w:r>
            <w:r>
              <w:rPr>
                <w:i/>
                <w:kern w:val="0"/>
              </w:rPr>
              <w:t>i</w:t>
            </w:r>
            <w:r>
              <w:rPr>
                <w:kern w:val="0"/>
              </w:rPr>
              <w:t>楼层中验算方向面层加固的抗震墙</w:t>
            </w:r>
            <w:r>
              <w:rPr>
                <w:i/>
                <w:kern w:val="0"/>
              </w:rPr>
              <w:t>j</w:t>
            </w:r>
            <w:r>
              <w:rPr>
                <w:kern w:val="0"/>
              </w:rPr>
              <w:t>墙段在1/2层高处净截面的面积；</w:t>
            </w:r>
          </w:p>
        </w:tc>
      </w:tr>
      <w:tr w14:paraId="71DF3D87">
        <w:tblPrEx>
          <w:tblCellMar>
            <w:top w:w="0" w:type="dxa"/>
            <w:left w:w="108" w:type="dxa"/>
            <w:bottom w:w="0" w:type="dxa"/>
            <w:right w:w="108" w:type="dxa"/>
          </w:tblCellMar>
        </w:tblPrEx>
        <w:trPr>
          <w:trHeight w:val="397" w:hRule="atLeast"/>
        </w:trPr>
        <w:tc>
          <w:tcPr>
            <w:tcW w:w="1474" w:type="dxa"/>
          </w:tcPr>
          <w:p w14:paraId="4FF332C7">
            <w:pPr>
              <w:pStyle w:val="55"/>
              <w:spacing w:before="31" w:after="31"/>
              <w:rPr>
                <w:kern w:val="0"/>
              </w:rPr>
            </w:pPr>
            <w:r>
              <w:rPr>
                <w:position w:val="-6"/>
              </w:rPr>
              <w:object>
                <v:shape id="_x0000_i1137" o:spt="75" type="#_x0000_t75" style="height:13.45pt;width:12.35pt;" o:ole="t" filled="f" o:preferrelative="t" stroked="f" coordsize="21600,21600">
                  <v:path/>
                  <v:fill on="f" focussize="0,0"/>
                  <v:stroke on="f" joinstyle="miter"/>
                  <v:imagedata r:id="rId230" o:title=""/>
                  <o:lock v:ext="edit" aspectratio="t"/>
                  <w10:wrap type="none"/>
                  <w10:anchorlock/>
                </v:shape>
                <o:OLEObject Type="Embed" ProgID="Equation.DSMT4" ShapeID="_x0000_i1137" DrawAspect="Content" ObjectID="_1468075835" r:id="rId229">
                  <o:LockedField>false</o:LockedField>
                </o:OLEObject>
              </w:object>
            </w:r>
            <w:r>
              <w:rPr>
                <w:kern w:val="0"/>
              </w:rPr>
              <w:t>——</w:t>
            </w:r>
          </w:p>
        </w:tc>
        <w:tc>
          <w:tcPr>
            <w:tcW w:w="6460" w:type="dxa"/>
            <w:vAlign w:val="center"/>
          </w:tcPr>
          <w:p w14:paraId="3FEFE98B">
            <w:pPr>
              <w:pStyle w:val="55"/>
              <w:spacing w:before="31" w:after="31"/>
              <w:jc w:val="left"/>
              <w:rPr>
                <w:kern w:val="0"/>
              </w:rPr>
            </w:pPr>
            <w:r>
              <w:rPr>
                <w:kern w:val="0"/>
              </w:rPr>
              <w:t>第</w:t>
            </w:r>
            <w:r>
              <w:rPr>
                <w:i/>
                <w:kern w:val="0"/>
              </w:rPr>
              <w:t>i</w:t>
            </w:r>
            <w:r>
              <w:rPr>
                <w:kern w:val="0"/>
              </w:rPr>
              <w:t>楼层中验算方向上的面层加固抗震墙的道数；</w:t>
            </w:r>
          </w:p>
        </w:tc>
      </w:tr>
      <w:tr w14:paraId="00CAC126">
        <w:tblPrEx>
          <w:tblCellMar>
            <w:top w:w="0" w:type="dxa"/>
            <w:left w:w="108" w:type="dxa"/>
            <w:bottom w:w="0" w:type="dxa"/>
            <w:right w:w="108" w:type="dxa"/>
          </w:tblCellMar>
        </w:tblPrEx>
        <w:trPr>
          <w:trHeight w:val="397" w:hRule="atLeast"/>
        </w:trPr>
        <w:tc>
          <w:tcPr>
            <w:tcW w:w="1474" w:type="dxa"/>
          </w:tcPr>
          <w:p w14:paraId="1C48618D">
            <w:pPr>
              <w:pStyle w:val="55"/>
              <w:spacing w:before="31" w:after="31"/>
              <w:rPr>
                <w:kern w:val="0"/>
              </w:rPr>
            </w:pPr>
            <w:r>
              <w:rPr>
                <w:position w:val="-10"/>
              </w:rPr>
              <w:object>
                <v:shape id="_x0000_i1138" o:spt="75" type="#_x0000_t75" style="height:19.9pt;width:23.65pt;" o:ole="t" filled="f" o:preferrelative="t" stroked="f" coordsize="21600,21600">
                  <v:path/>
                  <v:fill on="f" focussize="0,0"/>
                  <v:stroke on="f" joinstyle="miter"/>
                  <v:imagedata r:id="rId232" o:title=""/>
                  <o:lock v:ext="edit" aspectratio="t"/>
                  <w10:wrap type="none"/>
                  <w10:anchorlock/>
                </v:shape>
                <o:OLEObject Type="Embed" ProgID="Equation.DSMT4" ShapeID="_x0000_i1138" DrawAspect="Content" ObjectID="_1468075836" r:id="rId231">
                  <o:LockedField>false</o:LockedField>
                </o:OLEObject>
              </w:object>
            </w:r>
            <w:r>
              <w:rPr>
                <w:kern w:val="0"/>
                <w:position w:val="-4"/>
              </w:rPr>
              <w:t>——</w:t>
            </w:r>
          </w:p>
        </w:tc>
        <w:tc>
          <w:tcPr>
            <w:tcW w:w="6460" w:type="dxa"/>
            <w:vAlign w:val="center"/>
          </w:tcPr>
          <w:p w14:paraId="1FD31B4B">
            <w:pPr>
              <w:pStyle w:val="55"/>
              <w:spacing w:before="31" w:after="31"/>
              <w:jc w:val="left"/>
              <w:rPr>
                <w:kern w:val="0"/>
              </w:rPr>
            </w:pPr>
            <w:r>
              <w:rPr>
                <w:kern w:val="0"/>
              </w:rPr>
              <w:t>原砌体截面抗震受剪承载力，可按现行国家标准《砌体结构设计规范》GB 50003计算。</w:t>
            </w:r>
          </w:p>
        </w:tc>
      </w:tr>
    </w:tbl>
    <w:p w14:paraId="7D608B6B">
      <w:pPr>
        <w:pStyle w:val="57"/>
        <w:rPr>
          <w:szCs w:val="21"/>
        </w:rPr>
      </w:pPr>
      <w:r>
        <w:rPr>
          <w:rFonts w:hint="eastAsia"/>
        </w:rPr>
        <w:t>当</w:t>
      </w:r>
      <w:r>
        <w:t>原墙体在重力荷载代表值作用下的平均竖向压应力</w:t>
      </w:r>
      <w:r>
        <w:object>
          <v:shape id="_x0000_i1139" o:spt="75" type="#_x0000_t75" style="height:10.75pt;width:43.5pt;" o:ole="t" filled="f" o:preferrelative="t" stroked="f" coordsize="21600,21600">
            <v:path/>
            <v:fill on="f" focussize="0,0"/>
            <v:stroke on="f" joinstyle="miter"/>
            <v:imagedata r:id="rId234" cropleft="2688f" croptop="9260f" cropright="3506f" cropbottom="10726f" o:title=""/>
            <o:lock v:ext="edit" aspectratio="t"/>
            <w10:wrap type="none"/>
            <w10:anchorlock/>
          </v:shape>
          <o:OLEObject Type="Embed" ProgID="Equation.DSMT4" ShapeID="_x0000_i1139" DrawAspect="Content" ObjectID="_1468075837" r:id="rId233">
            <o:LockedField>false</o:LockedField>
          </o:OLEObject>
        </w:object>
      </w:r>
      <w:r>
        <w:t>时，增强系数</w:t>
      </w:r>
      <w:r>
        <w:object>
          <v:shape id="_x0000_i1140" o:spt="75" type="#_x0000_t75" style="height:10.75pt;width:12.35pt;" o:ole="t" filled="f" o:preferrelative="t" stroked="f" coordsize="21600,21600">
            <v:path/>
            <v:fill on="f" focussize="0,0"/>
            <v:stroke on="f" joinstyle="miter"/>
            <v:imagedata r:id="rId236" cropleft="6633f" croptop="24397f" cropright="8537f" cropbottom="6100f" o:title=""/>
            <o:lock v:ext="edit" aspectratio="t"/>
            <w10:wrap type="none"/>
            <w10:anchorlock/>
          </v:shape>
          <o:OLEObject Type="Embed" ProgID="Equation.DSMT4" ShapeID="_x0000_i1140" DrawAspect="Content" ObjectID="_1468075838" r:id="rId235">
            <o:LockedField>false</o:LockedField>
          </o:OLEObject>
        </w:object>
      </w:r>
      <w:r>
        <w:t>应乘以0.8进行折减，</w:t>
      </w:r>
      <w:r>
        <w:rPr>
          <w:i/>
          <w:iCs/>
        </w:rPr>
        <w:t>f</w:t>
      </w:r>
      <w:r>
        <w:t>为砌体的抗压强度设计值。</w:t>
      </w:r>
    </w:p>
    <w:p w14:paraId="7BD1860C">
      <w:pPr>
        <w:pStyle w:val="4"/>
      </w:pPr>
      <w:r>
        <w:rPr>
          <w:b/>
        </w:rPr>
        <w:t>5.4.5</w:t>
      </w:r>
      <w:r>
        <w:t xml:space="preserve">  高延性混凝土加固采用综合抗震能力指数验算时，有关构件支承长度的影响系数应作相应改变，有关墙体局部尺寸的影响系数应取1.0。</w:t>
      </w:r>
    </w:p>
    <w:p w14:paraId="3010819B">
      <w:pPr>
        <w:pStyle w:val="4"/>
      </w:pPr>
      <w:r>
        <w:rPr>
          <w:b/>
        </w:rPr>
        <w:t>5.4.</w:t>
      </w:r>
      <w:r>
        <w:rPr>
          <w:rFonts w:hint="eastAsia"/>
          <w:b/>
        </w:rPr>
        <w:t>6</w:t>
      </w:r>
      <w:r>
        <w:t xml:space="preserve">  墙体的侧向刚度</w:t>
      </w:r>
      <w:r>
        <w:rPr>
          <w:rFonts w:hint="eastAsia"/>
          <w:i/>
          <w:iCs/>
        </w:rPr>
        <w:t>K</w:t>
      </w:r>
      <w:r>
        <w:t>应</w:t>
      </w:r>
      <w:r>
        <w:rPr>
          <w:rFonts w:hint="eastAsia"/>
        </w:rPr>
        <w:t>按下列规定进行计算：</w:t>
      </w:r>
    </w:p>
    <w:p w14:paraId="0448EBE8">
      <w:pPr>
        <w:ind w:firstLine="422"/>
      </w:pPr>
      <w:r>
        <w:rPr>
          <w:b/>
        </w:rPr>
        <w:t>1</w:t>
      </w:r>
      <w:r>
        <w:t xml:space="preserve">  墙体高宽比小于1时，可只计算剪切变形：</w:t>
      </w:r>
    </w:p>
    <w:p w14:paraId="7C8ED987">
      <w:pPr>
        <w:tabs>
          <w:tab w:val="left" w:pos="2565"/>
        </w:tabs>
        <w:wordWrap w:val="0"/>
        <w:spacing w:after="312" w:line="312" w:lineRule="auto"/>
        <w:ind w:firstLine="420"/>
        <w:jc w:val="right"/>
      </w:pPr>
      <w:r>
        <w:rPr>
          <w:position w:val="-26"/>
        </w:rPr>
        <w:object>
          <v:shape id="_x0000_i1141" o:spt="75" type="#_x0000_t75" style="height:43.5pt;width:67.7pt;" o:ole="t" filled="f" o:preferrelative="t" stroked="f" coordsize="21600,21600">
            <v:path/>
            <v:fill on="f" focussize="0,0"/>
            <v:stroke on="f" joinstyle="miter"/>
            <v:imagedata r:id="rId238" o:title=""/>
            <o:lock v:ext="edit" aspectratio="t"/>
            <w10:wrap type="none"/>
            <w10:anchorlock/>
          </v:shape>
          <o:OLEObject Type="Embed" ProgID="Equation.DSMT4" ShapeID="_x0000_i1141" DrawAspect="Content" ObjectID="_1468075839" r:id="rId237">
            <o:LockedField>false</o:LockedField>
          </o:OLEObject>
        </w:object>
      </w:r>
      <w:r>
        <w:t xml:space="preserve">     </w:t>
      </w:r>
      <w:r>
        <w:rPr>
          <w:rFonts w:hint="eastAsia"/>
        </w:rPr>
        <w:t xml:space="preserve">     </w:t>
      </w:r>
      <w:r>
        <w:t xml:space="preserve">       </w:t>
      </w:r>
      <w:r>
        <w:rPr>
          <w:rFonts w:cs="Times New Roman"/>
          <w:sz w:val="28"/>
          <w:szCs w:val="28"/>
        </w:rPr>
        <w:t>（5.4.</w:t>
      </w:r>
      <w:r>
        <w:rPr>
          <w:rFonts w:hint="eastAsia" w:cs="Times New Roman"/>
          <w:sz w:val="28"/>
          <w:szCs w:val="28"/>
        </w:rPr>
        <w:t>6</w:t>
      </w:r>
      <w:r>
        <w:rPr>
          <w:rFonts w:cs="Times New Roman"/>
          <w:sz w:val="28"/>
          <w:szCs w:val="28"/>
        </w:rPr>
        <w:t>-1）</w:t>
      </w:r>
    </w:p>
    <w:p w14:paraId="0F3BFD5E">
      <w:pPr>
        <w:ind w:firstLine="422"/>
      </w:pPr>
      <w:r>
        <w:rPr>
          <w:b/>
        </w:rPr>
        <w:t>2</w:t>
      </w:r>
      <w:r>
        <w:t xml:space="preserve">  墙体高宽比不大于4且不小于1时，应同时计算弯曲和剪切变形：</w:t>
      </w:r>
    </w:p>
    <w:p w14:paraId="0B73B33A">
      <w:pPr>
        <w:tabs>
          <w:tab w:val="left" w:pos="2565"/>
        </w:tabs>
        <w:wordWrap w:val="0"/>
        <w:spacing w:after="312" w:line="312" w:lineRule="auto"/>
        <w:ind w:firstLine="420"/>
        <w:jc w:val="right"/>
      </w:pPr>
      <w:r>
        <w:rPr>
          <w:position w:val="-54"/>
        </w:rPr>
        <w:object>
          <v:shape id="_x0000_i1142" o:spt="75" type="#_x0000_t75" style="height:55.9pt;width:118.75pt;" o:ole="t" filled="f" o:preferrelative="t" stroked="f" coordsize="21600,21600">
            <v:path/>
            <v:fill on="f" focussize="0,0"/>
            <v:stroke on="f" joinstyle="miter"/>
            <v:imagedata r:id="rId240" o:title=""/>
            <o:lock v:ext="edit" aspectratio="t"/>
            <w10:wrap type="none"/>
            <w10:anchorlock/>
          </v:shape>
          <o:OLEObject Type="Embed" ProgID="Equation.DSMT4" ShapeID="_x0000_i1142" DrawAspect="Content" ObjectID="_1468075840" r:id="rId239">
            <o:LockedField>false</o:LockedField>
          </o:OLEObject>
        </w:object>
      </w:r>
      <w:r>
        <w:t xml:space="preserve">   </w:t>
      </w:r>
      <w:r>
        <w:rPr>
          <w:rFonts w:hint="eastAsia"/>
        </w:rPr>
        <w:t xml:space="preserve">   </w:t>
      </w:r>
      <w:r>
        <w:t xml:space="preserve">        </w:t>
      </w:r>
      <w:r>
        <w:rPr>
          <w:rFonts w:cs="Times New Roman"/>
          <w:sz w:val="28"/>
          <w:szCs w:val="28"/>
        </w:rPr>
        <w:t>（5.4.</w:t>
      </w:r>
      <w:r>
        <w:rPr>
          <w:rFonts w:hint="eastAsia" w:cs="Times New Roman"/>
          <w:sz w:val="28"/>
          <w:szCs w:val="28"/>
        </w:rPr>
        <w:t>6</w:t>
      </w:r>
      <w:r>
        <w:rPr>
          <w:rFonts w:cs="Times New Roman"/>
          <w:sz w:val="28"/>
          <w:szCs w:val="28"/>
        </w:rPr>
        <w:t>-2）</w:t>
      </w:r>
    </w:p>
    <w:p w14:paraId="70AF74C2">
      <w:pPr>
        <w:tabs>
          <w:tab w:val="left" w:pos="2565"/>
        </w:tabs>
        <w:wordWrap w:val="0"/>
        <w:spacing w:after="312" w:line="312" w:lineRule="auto"/>
        <w:ind w:firstLine="420"/>
        <w:jc w:val="right"/>
      </w:pPr>
      <w:r>
        <w:rPr>
          <w:position w:val="-28"/>
        </w:rPr>
        <w:object>
          <v:shape id="_x0000_i1143" o:spt="75" type="#_x0000_t75" style="height:43.5pt;width:111.2pt;" o:ole="t" filled="f" o:preferrelative="t" stroked="f" coordsize="21600,21600">
            <v:path/>
            <v:fill on="f" focussize="0,0"/>
            <v:stroke on="f" joinstyle="miter"/>
            <v:imagedata r:id="rId242" o:title=""/>
            <o:lock v:ext="edit" aspectratio="t"/>
            <w10:wrap type="none"/>
            <w10:anchorlock/>
          </v:shape>
          <o:OLEObject Type="Embed" ProgID="Equation.DSMT4" ShapeID="_x0000_i1143" DrawAspect="Content" ObjectID="_1468075841" r:id="rId241">
            <o:LockedField>false</o:LockedField>
          </o:OLEObject>
        </w:object>
      </w:r>
      <w:r>
        <w:t xml:space="preserve">      </w:t>
      </w:r>
      <w:r>
        <w:rPr>
          <w:rFonts w:hint="eastAsia"/>
        </w:rPr>
        <w:t xml:space="preserve">      </w:t>
      </w:r>
      <w:r>
        <w:t xml:space="preserve">   </w:t>
      </w:r>
      <w:r>
        <w:rPr>
          <w:rFonts w:cs="Times New Roman"/>
          <w:sz w:val="28"/>
          <w:szCs w:val="28"/>
        </w:rPr>
        <w:t>（5.4.</w:t>
      </w:r>
      <w:r>
        <w:rPr>
          <w:rFonts w:hint="eastAsia" w:cs="Times New Roman"/>
          <w:sz w:val="28"/>
          <w:szCs w:val="28"/>
        </w:rPr>
        <w:t>6</w:t>
      </w:r>
      <w:r>
        <w:rPr>
          <w:rFonts w:cs="Times New Roman"/>
          <w:sz w:val="28"/>
          <w:szCs w:val="28"/>
        </w:rPr>
        <w:t>-3）</w:t>
      </w:r>
    </w:p>
    <w:p w14:paraId="161F3BA1">
      <w:pPr>
        <w:ind w:firstLine="422"/>
      </w:pPr>
      <w:r>
        <w:rPr>
          <w:b/>
        </w:rPr>
        <w:t>3</w:t>
      </w:r>
      <w:r>
        <w:t xml:space="preserve">  墙体高宽比大于4时，墙体的侧向刚度可取0。</w:t>
      </w:r>
    </w:p>
    <w:tbl>
      <w:tblPr>
        <w:tblStyle w:val="28"/>
        <w:tblW w:w="7933" w:type="dxa"/>
        <w:tblInd w:w="111" w:type="dxa"/>
        <w:tblLayout w:type="fixed"/>
        <w:tblCellMar>
          <w:top w:w="0" w:type="dxa"/>
          <w:left w:w="108" w:type="dxa"/>
          <w:bottom w:w="0" w:type="dxa"/>
          <w:right w:w="108" w:type="dxa"/>
        </w:tblCellMar>
      </w:tblPr>
      <w:tblGrid>
        <w:gridCol w:w="1474"/>
        <w:gridCol w:w="6459"/>
      </w:tblGrid>
      <w:tr w14:paraId="28DE5446">
        <w:tblPrEx>
          <w:tblCellMar>
            <w:top w:w="0" w:type="dxa"/>
            <w:left w:w="108" w:type="dxa"/>
            <w:bottom w:w="0" w:type="dxa"/>
            <w:right w:w="108" w:type="dxa"/>
          </w:tblCellMar>
        </w:tblPrEx>
        <w:trPr>
          <w:trHeight w:val="340" w:hRule="atLeast"/>
        </w:trPr>
        <w:tc>
          <w:tcPr>
            <w:tcW w:w="1474" w:type="dxa"/>
          </w:tcPr>
          <w:p w14:paraId="473F3A6C">
            <w:pPr>
              <w:pStyle w:val="55"/>
              <w:spacing w:before="31" w:after="31"/>
            </w:pPr>
            <w:r>
              <w:t>式中：</w:t>
            </w:r>
          </w:p>
        </w:tc>
        <w:tc>
          <w:tcPr>
            <w:tcW w:w="6459" w:type="dxa"/>
            <w:vAlign w:val="center"/>
          </w:tcPr>
          <w:p w14:paraId="5FB11E25">
            <w:pPr>
              <w:pStyle w:val="55"/>
              <w:spacing w:before="31" w:after="31"/>
              <w:jc w:val="left"/>
              <w:rPr>
                <w:kern w:val="0"/>
              </w:rPr>
            </w:pPr>
          </w:p>
        </w:tc>
      </w:tr>
      <w:tr w14:paraId="45728C6A">
        <w:tblPrEx>
          <w:tblCellMar>
            <w:top w:w="0" w:type="dxa"/>
            <w:left w:w="108" w:type="dxa"/>
            <w:bottom w:w="0" w:type="dxa"/>
            <w:right w:w="108" w:type="dxa"/>
          </w:tblCellMar>
        </w:tblPrEx>
        <w:trPr>
          <w:trHeight w:val="340" w:hRule="atLeast"/>
        </w:trPr>
        <w:tc>
          <w:tcPr>
            <w:tcW w:w="1474" w:type="dxa"/>
            <w:vAlign w:val="center"/>
          </w:tcPr>
          <w:p w14:paraId="7453CB4E">
            <w:pPr>
              <w:pStyle w:val="55"/>
              <w:spacing w:before="31" w:after="31"/>
              <w:rPr>
                <w:kern w:val="0"/>
              </w:rPr>
            </w:pPr>
            <w:r>
              <w:rPr>
                <w:position w:val="-4"/>
              </w:rPr>
              <w:object>
                <v:shape id="_x0000_i1144" o:spt="75" type="#_x0000_t75" style="height:16.65pt;width:19.35pt;" o:ole="t" filled="f" o:preferrelative="t" stroked="f" coordsize="21600,21600">
                  <v:path/>
                  <v:fill on="f" focussize="0,0"/>
                  <v:stroke on="f" joinstyle="miter"/>
                  <v:imagedata r:id="rId244" o:title=""/>
                  <o:lock v:ext="edit" aspectratio="t"/>
                  <w10:wrap type="none"/>
                  <w10:anchorlock/>
                </v:shape>
                <o:OLEObject Type="Embed" ProgID="Equation.DSMT4" ShapeID="_x0000_i1144" DrawAspect="Content" ObjectID="_1468075842" r:id="rId243">
                  <o:LockedField>false</o:LockedField>
                </o:OLEObject>
              </w:object>
            </w:r>
            <w:r>
              <w:rPr>
                <w:kern w:val="0"/>
              </w:rPr>
              <w:t>——</w:t>
            </w:r>
          </w:p>
        </w:tc>
        <w:tc>
          <w:tcPr>
            <w:tcW w:w="6459" w:type="dxa"/>
            <w:vAlign w:val="center"/>
          </w:tcPr>
          <w:p w14:paraId="4DAB7349">
            <w:pPr>
              <w:pStyle w:val="55"/>
              <w:spacing w:before="31" w:after="31"/>
              <w:jc w:val="left"/>
              <w:rPr>
                <w:kern w:val="0"/>
              </w:rPr>
            </w:pPr>
            <w:r>
              <w:rPr>
                <w:kern w:val="0"/>
              </w:rPr>
              <w:t>采用高延性混凝土面层加固后墙体的侧向刚度；</w:t>
            </w:r>
          </w:p>
        </w:tc>
      </w:tr>
      <w:tr w14:paraId="78214503">
        <w:tblPrEx>
          <w:tblCellMar>
            <w:top w:w="0" w:type="dxa"/>
            <w:left w:w="108" w:type="dxa"/>
            <w:bottom w:w="0" w:type="dxa"/>
            <w:right w:w="108" w:type="dxa"/>
          </w:tblCellMar>
        </w:tblPrEx>
        <w:trPr>
          <w:trHeight w:val="340" w:hRule="atLeast"/>
        </w:trPr>
        <w:tc>
          <w:tcPr>
            <w:tcW w:w="1474" w:type="dxa"/>
            <w:vAlign w:val="center"/>
          </w:tcPr>
          <w:p w14:paraId="568190A1">
            <w:pPr>
              <w:pStyle w:val="55"/>
              <w:spacing w:before="31" w:after="31"/>
              <w:rPr>
                <w:kern w:val="0"/>
              </w:rPr>
            </w:pPr>
            <w:r>
              <w:rPr>
                <w:position w:val="-10"/>
              </w:rPr>
              <w:object>
                <v:shape id="_x0000_i1145" o:spt="75" type="#_x0000_t75" style="height:19.9pt;width:19.9pt;" o:ole="t" filled="f" o:preferrelative="t" stroked="f" coordsize="21600,21600">
                  <v:path/>
                  <v:fill on="f" focussize="0,0"/>
                  <v:stroke on="f" joinstyle="miter"/>
                  <v:imagedata r:id="rId246" o:title=""/>
                  <o:lock v:ext="edit" aspectratio="t"/>
                  <w10:wrap type="none"/>
                  <w10:anchorlock/>
                </v:shape>
                <o:OLEObject Type="Embed" ProgID="Equation.DSMT4" ShapeID="_x0000_i1145" DrawAspect="Content" ObjectID="_1468075843" r:id="rId245">
                  <o:LockedField>false</o:LockedField>
                </o:OLEObject>
              </w:object>
            </w:r>
            <w:r>
              <w:rPr>
                <w:kern w:val="0"/>
                <w:position w:val="-4"/>
              </w:rPr>
              <w:t>——</w:t>
            </w:r>
          </w:p>
        </w:tc>
        <w:tc>
          <w:tcPr>
            <w:tcW w:w="6459" w:type="dxa"/>
            <w:vAlign w:val="center"/>
          </w:tcPr>
          <w:p w14:paraId="43964D53">
            <w:pPr>
              <w:pStyle w:val="55"/>
              <w:spacing w:before="31" w:after="31"/>
              <w:jc w:val="left"/>
              <w:rPr>
                <w:kern w:val="0"/>
              </w:rPr>
            </w:pPr>
            <w:r>
              <w:rPr>
                <w:kern w:val="0"/>
              </w:rPr>
              <w:t>砌体的弹性模量；</w:t>
            </w:r>
          </w:p>
        </w:tc>
      </w:tr>
      <w:tr w14:paraId="23934FE9">
        <w:trPr>
          <w:trHeight w:val="340" w:hRule="atLeast"/>
        </w:trPr>
        <w:tc>
          <w:tcPr>
            <w:tcW w:w="1474" w:type="dxa"/>
            <w:vAlign w:val="center"/>
          </w:tcPr>
          <w:p w14:paraId="2F617874">
            <w:pPr>
              <w:pStyle w:val="55"/>
              <w:spacing w:before="31" w:after="31"/>
              <w:rPr>
                <w:kern w:val="0"/>
              </w:rPr>
            </w:pPr>
            <w:r>
              <w:rPr>
                <w:position w:val="-10"/>
              </w:rPr>
              <w:object>
                <v:shape id="_x0000_i1146" o:spt="75" type="#_x0000_t75" style="height:23.65pt;width:23.65pt;" o:ole="t" filled="f" o:preferrelative="t" stroked="f" coordsize="21600,21600">
                  <v:path/>
                  <v:fill on="f" focussize="0,0"/>
                  <v:stroke on="f" joinstyle="miter"/>
                  <v:imagedata r:id="rId248" o:title=""/>
                  <o:lock v:ext="edit" aspectratio="t"/>
                  <w10:wrap type="none"/>
                  <w10:anchorlock/>
                </v:shape>
                <o:OLEObject Type="Embed" ProgID="Equation.DSMT4" ShapeID="_x0000_i1146" DrawAspect="Content" ObjectID="_1468075844" r:id="rId247">
                  <o:LockedField>false</o:LockedField>
                </o:OLEObject>
              </w:object>
            </w:r>
            <w:r>
              <w:rPr>
                <w:kern w:val="0"/>
                <w:position w:val="-4"/>
              </w:rPr>
              <w:t>——</w:t>
            </w:r>
          </w:p>
        </w:tc>
        <w:tc>
          <w:tcPr>
            <w:tcW w:w="6459" w:type="dxa"/>
            <w:vAlign w:val="center"/>
          </w:tcPr>
          <w:p w14:paraId="4956D76D">
            <w:pPr>
              <w:pStyle w:val="55"/>
              <w:spacing w:before="31" w:after="31"/>
              <w:jc w:val="left"/>
              <w:rPr>
                <w:kern w:val="0"/>
              </w:rPr>
            </w:pPr>
            <w:r>
              <w:rPr>
                <w:kern w:val="0"/>
              </w:rPr>
              <w:t>高延性混凝土面层的弹性模量；</w:t>
            </w:r>
          </w:p>
        </w:tc>
      </w:tr>
      <w:tr w14:paraId="25480E97">
        <w:tblPrEx>
          <w:tblCellMar>
            <w:top w:w="0" w:type="dxa"/>
            <w:left w:w="108" w:type="dxa"/>
            <w:bottom w:w="0" w:type="dxa"/>
            <w:right w:w="108" w:type="dxa"/>
          </w:tblCellMar>
        </w:tblPrEx>
        <w:trPr>
          <w:trHeight w:val="340" w:hRule="atLeast"/>
        </w:trPr>
        <w:tc>
          <w:tcPr>
            <w:tcW w:w="1474" w:type="dxa"/>
            <w:vAlign w:val="center"/>
          </w:tcPr>
          <w:p w14:paraId="656D52EB">
            <w:pPr>
              <w:pStyle w:val="55"/>
              <w:spacing w:before="31" w:after="31"/>
              <w:rPr>
                <w:kern w:val="0"/>
              </w:rPr>
            </w:pPr>
            <w:r>
              <w:rPr>
                <w:position w:val="-10"/>
              </w:rPr>
              <w:object>
                <v:shape id="_x0000_i1147" o:spt="75" type="#_x0000_t75" style="height:23.65pt;width:23.65pt;" o:ole="t" filled="f" o:preferrelative="t" stroked="f" coordsize="21600,21600">
                  <v:path/>
                  <v:fill on="f" focussize="0,0"/>
                  <v:stroke on="f" joinstyle="miter"/>
                  <v:imagedata r:id="rId250" o:title=""/>
                  <o:lock v:ext="edit" aspectratio="t"/>
                  <w10:wrap type="none"/>
                  <w10:anchorlock/>
                </v:shape>
                <o:OLEObject Type="Embed" ProgID="Equation.DSMT4" ShapeID="_x0000_i1147" DrawAspect="Content" ObjectID="_1468075845" r:id="rId249">
                  <o:LockedField>false</o:LockedField>
                </o:OLEObject>
              </w:object>
            </w:r>
            <w:r>
              <w:rPr>
                <w:kern w:val="0"/>
                <w:position w:val="-4"/>
              </w:rPr>
              <w:t>——</w:t>
            </w:r>
          </w:p>
        </w:tc>
        <w:tc>
          <w:tcPr>
            <w:tcW w:w="6459" w:type="dxa"/>
            <w:vAlign w:val="center"/>
          </w:tcPr>
          <w:p w14:paraId="2E12E0D5">
            <w:pPr>
              <w:pStyle w:val="55"/>
              <w:spacing w:before="31" w:after="31"/>
              <w:jc w:val="left"/>
              <w:rPr>
                <w:kern w:val="0"/>
              </w:rPr>
            </w:pPr>
            <w:r>
              <w:rPr>
                <w:kern w:val="0"/>
              </w:rPr>
              <w:t>砌体的横截面面积；</w:t>
            </w:r>
          </w:p>
        </w:tc>
      </w:tr>
      <w:tr w14:paraId="56CB1875">
        <w:tblPrEx>
          <w:tblCellMar>
            <w:top w:w="0" w:type="dxa"/>
            <w:left w:w="108" w:type="dxa"/>
            <w:bottom w:w="0" w:type="dxa"/>
            <w:right w:w="108" w:type="dxa"/>
          </w:tblCellMar>
        </w:tblPrEx>
        <w:trPr>
          <w:trHeight w:val="340" w:hRule="atLeast"/>
        </w:trPr>
        <w:tc>
          <w:tcPr>
            <w:tcW w:w="1474" w:type="dxa"/>
            <w:vAlign w:val="center"/>
          </w:tcPr>
          <w:p w14:paraId="58648E12">
            <w:pPr>
              <w:pStyle w:val="55"/>
              <w:spacing w:before="31" w:after="31"/>
              <w:rPr>
                <w:kern w:val="0"/>
              </w:rPr>
            </w:pPr>
            <w:r>
              <w:rPr>
                <w:position w:val="-10"/>
              </w:rPr>
              <w:object>
                <v:shape id="_x0000_i1148" o:spt="75" type="#_x0000_t75" style="height:23.65pt;width:23.65pt;" o:ole="t" filled="f" o:preferrelative="t" stroked="f" coordsize="21600,21600">
                  <v:path/>
                  <v:fill on="f" focussize="0,0"/>
                  <v:stroke on="f" joinstyle="miter"/>
                  <v:imagedata r:id="rId252" o:title=""/>
                  <o:lock v:ext="edit" aspectratio="t"/>
                  <w10:wrap type="none"/>
                  <w10:anchorlock/>
                </v:shape>
                <o:OLEObject Type="Embed" ProgID="Equation.DSMT4" ShapeID="_x0000_i1148" DrawAspect="Content" ObjectID="_1468075846" r:id="rId251">
                  <o:LockedField>false</o:LockedField>
                </o:OLEObject>
              </w:object>
            </w:r>
            <w:r>
              <w:rPr>
                <w:kern w:val="0"/>
                <w:position w:val="-4"/>
              </w:rPr>
              <w:t>——</w:t>
            </w:r>
          </w:p>
        </w:tc>
        <w:tc>
          <w:tcPr>
            <w:tcW w:w="6459" w:type="dxa"/>
            <w:vAlign w:val="center"/>
          </w:tcPr>
          <w:p w14:paraId="24AB32DD">
            <w:pPr>
              <w:pStyle w:val="55"/>
              <w:spacing w:before="31" w:after="31"/>
              <w:jc w:val="left"/>
              <w:rPr>
                <w:kern w:val="0"/>
              </w:rPr>
            </w:pPr>
            <w:r>
              <w:rPr>
                <w:kern w:val="0"/>
              </w:rPr>
              <w:t>高延性混凝土面层的横截面面积；</w:t>
            </w:r>
          </w:p>
        </w:tc>
      </w:tr>
      <w:tr w14:paraId="31B97C12">
        <w:tblPrEx>
          <w:tblCellMar>
            <w:top w:w="0" w:type="dxa"/>
            <w:left w:w="108" w:type="dxa"/>
            <w:bottom w:w="0" w:type="dxa"/>
            <w:right w:w="108" w:type="dxa"/>
          </w:tblCellMar>
        </w:tblPrEx>
        <w:trPr>
          <w:trHeight w:val="340" w:hRule="atLeast"/>
        </w:trPr>
        <w:tc>
          <w:tcPr>
            <w:tcW w:w="1474" w:type="dxa"/>
            <w:vAlign w:val="center"/>
          </w:tcPr>
          <w:p w14:paraId="487627FB">
            <w:pPr>
              <w:pStyle w:val="55"/>
              <w:spacing w:before="31" w:after="31"/>
              <w:rPr>
                <w:kern w:val="0"/>
              </w:rPr>
            </w:pPr>
            <w:r>
              <w:rPr>
                <w:position w:val="-6"/>
              </w:rPr>
              <w:object>
                <v:shape id="_x0000_i1149" o:spt="75" type="#_x0000_t75" style="height:16.65pt;width:16.1pt;" o:ole="t" filled="f" o:preferrelative="t" stroked="f" coordsize="21600,21600">
                  <v:path/>
                  <v:fill on="f" focussize="0,0"/>
                  <v:stroke on="f" joinstyle="miter"/>
                  <v:imagedata r:id="rId254" o:title=""/>
                  <o:lock v:ext="edit" aspectratio="t"/>
                  <w10:wrap type="none"/>
                  <w10:anchorlock/>
                </v:shape>
                <o:OLEObject Type="Embed" ProgID="Equation.DSMT4" ShapeID="_x0000_i1149" DrawAspect="Content" ObjectID="_1468075847" r:id="rId253">
                  <o:LockedField>false</o:LockedField>
                </o:OLEObject>
              </w:object>
            </w:r>
            <w:r>
              <w:rPr>
                <w:kern w:val="0"/>
                <w:position w:val="-4"/>
              </w:rPr>
              <w:t>——</w:t>
            </w:r>
          </w:p>
        </w:tc>
        <w:tc>
          <w:tcPr>
            <w:tcW w:w="6459" w:type="dxa"/>
            <w:vAlign w:val="center"/>
          </w:tcPr>
          <w:p w14:paraId="77E89C1A">
            <w:pPr>
              <w:pStyle w:val="55"/>
              <w:spacing w:before="31" w:after="31"/>
              <w:jc w:val="left"/>
              <w:rPr>
                <w:kern w:val="0"/>
              </w:rPr>
            </w:pPr>
            <w:r>
              <w:rPr>
                <w:kern w:val="0"/>
              </w:rPr>
              <w:t>加固砖墙的剪切模量，取</w:t>
            </w:r>
            <w:r>
              <w:rPr>
                <w:position w:val="-6"/>
              </w:rPr>
              <w:object>
                <v:shape id="_x0000_i1150" o:spt="75" type="#_x0000_t75" style="height:16.65pt;width:58.55pt;" o:ole="t" filled="f" o:preferrelative="t" stroked="f" coordsize="21600,21600">
                  <v:path/>
                  <v:fill on="f" focussize="0,0"/>
                  <v:stroke on="f" joinstyle="miter"/>
                  <v:imagedata r:id="rId256" o:title=""/>
                  <o:lock v:ext="edit" aspectratio="t"/>
                  <w10:wrap type="none"/>
                  <w10:anchorlock/>
                </v:shape>
                <o:OLEObject Type="Embed" ProgID="Equation.DSMT4" ShapeID="_x0000_i1150" DrawAspect="Content" ObjectID="_1468075848" r:id="rId255">
                  <o:LockedField>false</o:LockedField>
                </o:OLEObject>
              </w:object>
            </w:r>
            <w:r>
              <w:rPr>
                <w:kern w:val="0"/>
              </w:rPr>
              <w:t>；</w:t>
            </w:r>
          </w:p>
        </w:tc>
      </w:tr>
      <w:tr w14:paraId="54D4F356">
        <w:tblPrEx>
          <w:tblCellMar>
            <w:top w:w="0" w:type="dxa"/>
            <w:left w:w="108" w:type="dxa"/>
            <w:bottom w:w="0" w:type="dxa"/>
            <w:right w:w="108" w:type="dxa"/>
          </w:tblCellMar>
        </w:tblPrEx>
        <w:trPr>
          <w:trHeight w:val="340" w:hRule="atLeast"/>
        </w:trPr>
        <w:tc>
          <w:tcPr>
            <w:tcW w:w="1474" w:type="dxa"/>
            <w:vAlign w:val="center"/>
          </w:tcPr>
          <w:p w14:paraId="33D9844C">
            <w:pPr>
              <w:pStyle w:val="55"/>
              <w:spacing w:before="31" w:after="31"/>
              <w:rPr>
                <w:kern w:val="0"/>
              </w:rPr>
            </w:pPr>
            <w:r>
              <w:rPr>
                <w:position w:val="-10"/>
              </w:rPr>
              <w:object>
                <v:shape id="_x0000_i1151" o:spt="75" type="#_x0000_t75" style="height:19.9pt;width:15.05pt;" o:ole="t" filled="f" o:preferrelative="t" stroked="f" coordsize="21600,21600">
                  <v:path/>
                  <v:fill on="f" focussize="0,0"/>
                  <v:stroke on="f" joinstyle="miter"/>
                  <v:imagedata r:id="rId258" o:title=""/>
                  <o:lock v:ext="edit" aspectratio="t"/>
                  <w10:wrap type="none"/>
                  <w10:anchorlock/>
                </v:shape>
                <o:OLEObject Type="Embed" ProgID="Equation.DSMT4" ShapeID="_x0000_i1151" DrawAspect="Content" ObjectID="_1468075849" r:id="rId257">
                  <o:LockedField>false</o:LockedField>
                </o:OLEObject>
              </w:object>
            </w:r>
            <w:r>
              <w:rPr>
                <w:kern w:val="0"/>
                <w:position w:val="-4"/>
              </w:rPr>
              <w:t>——</w:t>
            </w:r>
          </w:p>
        </w:tc>
        <w:tc>
          <w:tcPr>
            <w:tcW w:w="6459" w:type="dxa"/>
            <w:vAlign w:val="center"/>
          </w:tcPr>
          <w:p w14:paraId="3AB53592">
            <w:pPr>
              <w:pStyle w:val="55"/>
              <w:spacing w:before="31" w:after="31"/>
              <w:jc w:val="left"/>
              <w:rPr>
                <w:kern w:val="0"/>
              </w:rPr>
            </w:pPr>
            <w:r>
              <w:rPr>
                <w:kern w:val="0"/>
              </w:rPr>
              <w:t>截面剪应变不均匀系数，取</w:t>
            </w:r>
            <w:r>
              <w:rPr>
                <w:position w:val="-10"/>
              </w:rPr>
              <w:object>
                <v:shape id="_x0000_i1152" o:spt="75" type="#_x0000_t75" style="height:19.9pt;width:15.05pt;" o:ole="t" filled="f" o:preferrelative="t" stroked="f" coordsize="21600,21600">
                  <v:path/>
                  <v:fill on="f" focussize="0,0"/>
                  <v:stroke on="f" joinstyle="miter"/>
                  <v:imagedata r:id="rId260" o:title=""/>
                  <o:lock v:ext="edit" aspectratio="t"/>
                  <w10:wrap type="none"/>
                  <w10:anchorlock/>
                </v:shape>
                <o:OLEObject Type="Embed" ProgID="Equation.DSMT4" ShapeID="_x0000_i1152" DrawAspect="Content" ObjectID="_1468075850" r:id="rId259">
                  <o:LockedField>false</o:LockedField>
                </o:OLEObject>
              </w:object>
            </w:r>
            <w:r>
              <w:rPr>
                <w:kern w:val="0"/>
              </w:rPr>
              <w:t>=1.2；</w:t>
            </w:r>
          </w:p>
        </w:tc>
      </w:tr>
      <w:tr w14:paraId="119537E2">
        <w:tblPrEx>
          <w:tblCellMar>
            <w:top w:w="0" w:type="dxa"/>
            <w:left w:w="108" w:type="dxa"/>
            <w:bottom w:w="0" w:type="dxa"/>
            <w:right w:w="108" w:type="dxa"/>
          </w:tblCellMar>
        </w:tblPrEx>
        <w:trPr>
          <w:trHeight w:val="340" w:hRule="atLeast"/>
        </w:trPr>
        <w:tc>
          <w:tcPr>
            <w:tcW w:w="1474" w:type="dxa"/>
            <w:vAlign w:val="center"/>
          </w:tcPr>
          <w:p w14:paraId="08880728">
            <w:pPr>
              <w:pStyle w:val="55"/>
              <w:spacing w:before="31" w:after="31"/>
              <w:rPr>
                <w:kern w:val="0"/>
              </w:rPr>
            </w:pPr>
            <w:r>
              <w:rPr>
                <w:position w:val="-6"/>
              </w:rPr>
              <w:object>
                <v:shape id="_x0000_i1153" o:spt="75" type="#_x0000_t75" style="height:16.65pt;width:16.65pt;" o:ole="t" filled="f" o:preferrelative="t" stroked="f" coordsize="21600,21600">
                  <v:path/>
                  <v:fill on="f" focussize="0,0"/>
                  <v:stroke on="f" joinstyle="miter"/>
                  <v:imagedata r:id="rId262" o:title=""/>
                  <o:lock v:ext="edit" aspectratio="t"/>
                  <w10:wrap type="none"/>
                  <w10:anchorlock/>
                </v:shape>
                <o:OLEObject Type="Embed" ProgID="Equation.DSMT4" ShapeID="_x0000_i1153" DrawAspect="Content" ObjectID="_1468075851" r:id="rId261">
                  <o:LockedField>false</o:LockedField>
                </o:OLEObject>
              </w:object>
            </w:r>
            <w:r>
              <w:rPr>
                <w:kern w:val="0"/>
                <w:position w:val="-4"/>
              </w:rPr>
              <w:t>——</w:t>
            </w:r>
          </w:p>
        </w:tc>
        <w:tc>
          <w:tcPr>
            <w:tcW w:w="6459" w:type="dxa"/>
            <w:vAlign w:val="center"/>
          </w:tcPr>
          <w:p w14:paraId="658745FF">
            <w:pPr>
              <w:pStyle w:val="55"/>
              <w:spacing w:before="31" w:after="31"/>
              <w:jc w:val="left"/>
              <w:rPr>
                <w:kern w:val="0"/>
              </w:rPr>
            </w:pPr>
            <w:r>
              <w:rPr>
                <w:kern w:val="0"/>
              </w:rPr>
              <w:t>竖向压应力影响系数，取</w:t>
            </w:r>
            <w:r>
              <w:rPr>
                <w:position w:val="-6"/>
              </w:rPr>
              <w:object>
                <v:shape id="_x0000_i1154" o:spt="75" type="#_x0000_t75" style="height:13.45pt;width:13.45pt;" o:ole="t" filled="f" o:preferrelative="t" stroked="f" coordsize="21600,21600">
                  <v:path/>
                  <v:fill on="f" focussize="0,0"/>
                  <v:stroke on="f" joinstyle="miter"/>
                  <v:imagedata r:id="rId264" o:title=""/>
                  <o:lock v:ext="edit" aspectratio="t"/>
                  <w10:wrap type="none"/>
                  <w10:anchorlock/>
                </v:shape>
                <o:OLEObject Type="Embed" ProgID="Equation.DSMT4" ShapeID="_x0000_i1154" DrawAspect="Content" ObjectID="_1468075852" r:id="rId263">
                  <o:LockedField>false</o:LockedField>
                </o:OLEObject>
              </w:object>
            </w:r>
            <w:r>
              <w:rPr>
                <w:kern w:val="0"/>
              </w:rPr>
              <w:t>=1.0；</w:t>
            </w:r>
          </w:p>
        </w:tc>
      </w:tr>
      <w:tr w14:paraId="59EDDF9C">
        <w:tblPrEx>
          <w:tblCellMar>
            <w:top w:w="0" w:type="dxa"/>
            <w:left w:w="108" w:type="dxa"/>
            <w:bottom w:w="0" w:type="dxa"/>
            <w:right w:w="108" w:type="dxa"/>
          </w:tblCellMar>
        </w:tblPrEx>
        <w:trPr>
          <w:trHeight w:val="340" w:hRule="atLeast"/>
        </w:trPr>
        <w:tc>
          <w:tcPr>
            <w:tcW w:w="1474" w:type="dxa"/>
            <w:vAlign w:val="center"/>
          </w:tcPr>
          <w:p w14:paraId="248D9053">
            <w:pPr>
              <w:pStyle w:val="55"/>
              <w:spacing w:before="31" w:after="31"/>
              <w:rPr>
                <w:kern w:val="0"/>
              </w:rPr>
            </w:pPr>
            <w:r>
              <w:rPr>
                <w:position w:val="-4"/>
              </w:rPr>
              <w:object>
                <v:shape id="_x0000_i1155" o:spt="75" type="#_x0000_t75" style="height:13.45pt;width:16.1pt;" o:ole="t" filled="f" o:preferrelative="t" stroked="f" coordsize="21600,21600">
                  <v:path/>
                  <v:fill on="f" focussize="0,0"/>
                  <v:stroke on="f" joinstyle="miter"/>
                  <v:imagedata r:id="rId266" o:title=""/>
                  <o:lock v:ext="edit" aspectratio="t"/>
                  <w10:wrap type="none"/>
                  <w10:anchorlock/>
                </v:shape>
                <o:OLEObject Type="Embed" ProgID="Equation.DSMT4" ShapeID="_x0000_i1155" DrawAspect="Content" ObjectID="_1468075853" r:id="rId265">
                  <o:LockedField>false</o:LockedField>
                </o:OLEObject>
              </w:object>
            </w:r>
            <w:r>
              <w:rPr>
                <w:kern w:val="0"/>
                <w:position w:val="-4"/>
              </w:rPr>
              <w:t>——</w:t>
            </w:r>
          </w:p>
        </w:tc>
        <w:tc>
          <w:tcPr>
            <w:tcW w:w="6459" w:type="dxa"/>
            <w:vAlign w:val="center"/>
          </w:tcPr>
          <w:p w14:paraId="65E694F8">
            <w:pPr>
              <w:pStyle w:val="55"/>
              <w:spacing w:before="31" w:after="31"/>
              <w:jc w:val="left"/>
              <w:rPr>
                <w:kern w:val="0"/>
              </w:rPr>
            </w:pPr>
            <w:r>
              <w:rPr>
                <w:kern w:val="0"/>
              </w:rPr>
              <w:t>墙体竖向高度；</w:t>
            </w:r>
          </w:p>
        </w:tc>
      </w:tr>
      <w:tr w14:paraId="6C34DB57">
        <w:tblPrEx>
          <w:tblCellMar>
            <w:top w:w="0" w:type="dxa"/>
            <w:left w:w="108" w:type="dxa"/>
            <w:bottom w:w="0" w:type="dxa"/>
            <w:right w:w="108" w:type="dxa"/>
          </w:tblCellMar>
        </w:tblPrEx>
        <w:trPr>
          <w:trHeight w:val="340" w:hRule="atLeast"/>
        </w:trPr>
        <w:tc>
          <w:tcPr>
            <w:tcW w:w="1474" w:type="dxa"/>
          </w:tcPr>
          <w:p w14:paraId="15A844A2">
            <w:pPr>
              <w:pStyle w:val="55"/>
              <w:spacing w:before="31" w:after="31"/>
              <w:rPr>
                <w:kern w:val="0"/>
              </w:rPr>
            </w:pPr>
            <w:r>
              <w:rPr>
                <w:position w:val="-4"/>
              </w:rPr>
              <w:object>
                <v:shape id="_x0000_i1156" o:spt="75" type="#_x0000_t75" style="height:13.45pt;width:10.75pt;" o:ole="t" filled="f" o:preferrelative="t" stroked="f" coordsize="21600,21600">
                  <v:path/>
                  <v:fill on="f" focussize="0,0"/>
                  <v:stroke on="f" joinstyle="miter"/>
                  <v:imagedata r:id="rId268" o:title=""/>
                  <o:lock v:ext="edit" aspectratio="t"/>
                  <w10:wrap type="none"/>
                  <w10:anchorlock/>
                </v:shape>
                <o:OLEObject Type="Embed" ProgID="Equation.DSMT4" ShapeID="_x0000_i1156" DrawAspect="Content" ObjectID="_1468075854" r:id="rId267">
                  <o:LockedField>false</o:LockedField>
                </o:OLEObject>
              </w:object>
            </w:r>
            <w:r>
              <w:rPr>
                <w:kern w:val="0"/>
              </w:rPr>
              <w:t>、</w:t>
            </w:r>
            <w:r>
              <w:rPr>
                <w:position w:val="-4"/>
              </w:rPr>
              <w:object>
                <v:shape id="_x0000_i1157" o:spt="75" type="#_x0000_t75" style="height:13.45pt;width:12.35pt;" o:ole="t" filled="f" o:preferrelative="t" stroked="f" coordsize="21600,21600">
                  <v:path/>
                  <v:fill on="f" focussize="0,0"/>
                  <v:stroke on="f" joinstyle="miter"/>
                  <v:imagedata r:id="rId270" o:title=""/>
                  <o:lock v:ext="edit" aspectratio="t"/>
                  <w10:wrap type="none"/>
                  <w10:anchorlock/>
                </v:shape>
                <o:OLEObject Type="Embed" ProgID="Equation.DSMT4" ShapeID="_x0000_i1157" DrawAspect="Content" ObjectID="_1468075855" r:id="rId269">
                  <o:LockedField>false</o:LockedField>
                </o:OLEObject>
              </w:object>
            </w:r>
            <w:r>
              <w:rPr>
                <w:kern w:val="0"/>
                <w:position w:val="-4"/>
              </w:rPr>
              <w:t>——</w:t>
            </w:r>
          </w:p>
        </w:tc>
        <w:tc>
          <w:tcPr>
            <w:tcW w:w="6459" w:type="dxa"/>
            <w:vAlign w:val="center"/>
          </w:tcPr>
          <w:p w14:paraId="735DAFF9">
            <w:pPr>
              <w:pStyle w:val="55"/>
              <w:spacing w:before="31" w:after="31"/>
              <w:jc w:val="left"/>
              <w:rPr>
                <w:kern w:val="0"/>
              </w:rPr>
            </w:pPr>
            <w:r>
              <w:rPr>
                <w:kern w:val="0"/>
              </w:rPr>
              <w:t>分别表示采用高延性混凝土面层加固后，组合截面惯性矩和组合截面面积。</w:t>
            </w:r>
          </w:p>
        </w:tc>
      </w:tr>
    </w:tbl>
    <w:p w14:paraId="42CF8A6C">
      <w:pPr>
        <w:pStyle w:val="4"/>
      </w:pPr>
      <w:bookmarkStart w:id="494" w:name="_Toc48210363"/>
      <w:bookmarkStart w:id="495" w:name="_Toc19545270"/>
      <w:bookmarkStart w:id="496" w:name="_Toc54255559"/>
      <w:bookmarkStart w:id="497" w:name="_Toc32865090"/>
      <w:bookmarkStart w:id="498" w:name="_Toc25070687"/>
      <w:bookmarkStart w:id="499" w:name="_Toc25690916"/>
      <w:bookmarkStart w:id="500" w:name="_Toc52264503"/>
      <w:bookmarkStart w:id="501" w:name="_Toc38352783"/>
      <w:bookmarkStart w:id="502" w:name="_Toc38358409"/>
      <w:bookmarkStart w:id="503" w:name="_Toc48210031"/>
      <w:bookmarkStart w:id="504" w:name="_Toc48138895"/>
      <w:bookmarkStart w:id="505" w:name="_Toc48210140"/>
      <w:bookmarkStart w:id="506" w:name="_Toc48138973"/>
      <w:bookmarkStart w:id="507" w:name="_Toc54256654"/>
      <w:bookmarkStart w:id="508" w:name="_Toc32848347"/>
      <w:r>
        <w:rPr>
          <w:b/>
        </w:rPr>
        <w:t>5.4.7</w:t>
      </w:r>
      <w:r>
        <w:t xml:space="preserve">  采用高延性混凝土或配筋高延性混凝土面层加固后，墙体侧向刚度的提高系数</w:t>
      </w:r>
      <w:r>
        <w:rPr>
          <w:position w:val="-10"/>
        </w:rPr>
        <w:object>
          <v:shape id="_x0000_i1158" o:spt="75" type="#_x0000_t75" style="height:19.9pt;width:16.1pt;" o:ole="t" filled="f" o:preferrelative="t" stroked="f" coordsize="21600,21600">
            <v:path/>
            <v:fill on="f" focussize="0,0"/>
            <v:stroke on="f" joinstyle="miter"/>
            <v:imagedata r:id="rId272" o:title=""/>
            <o:lock v:ext="edit" aspectratio="t"/>
            <w10:wrap type="none"/>
            <w10:anchorlock/>
          </v:shape>
          <o:OLEObject Type="Embed" ProgID="Equation.DSMT4" ShapeID="_x0000_i1158" DrawAspect="Content" ObjectID="_1468075856" r:id="rId271">
            <o:LockedField>false</o:LockedField>
          </o:OLEObject>
        </w:object>
      </w:r>
      <w:r>
        <w:t>按下式计算：</w:t>
      </w:r>
    </w:p>
    <w:p w14:paraId="2EFE27C7">
      <w:pPr>
        <w:tabs>
          <w:tab w:val="left" w:pos="2565"/>
        </w:tabs>
        <w:wordWrap w:val="0"/>
        <w:spacing w:after="312" w:line="312" w:lineRule="auto"/>
        <w:ind w:firstLine="420"/>
        <w:jc w:val="right"/>
        <w:rPr>
          <w:rFonts w:cs="Times New Roman"/>
          <w:sz w:val="28"/>
          <w:szCs w:val="28"/>
        </w:rPr>
      </w:pPr>
      <w:r>
        <w:rPr>
          <w:position w:val="-28"/>
        </w:rPr>
        <w:object>
          <v:shape id="_x0000_i1159" o:spt="75" type="#_x0000_t75" style="height:43.5pt;width:55.9pt;" o:ole="t" filled="f" o:preferrelative="t" stroked="f" coordsize="21600,21600">
            <v:path/>
            <v:fill on="f" focussize="0,0"/>
            <v:stroke on="f" joinstyle="miter"/>
            <v:imagedata r:id="rId274" o:title=""/>
            <o:lock v:ext="edit" aspectratio="t"/>
            <w10:wrap type="none"/>
            <w10:anchorlock/>
          </v:shape>
          <o:OLEObject Type="Embed" ProgID="Equation.DSMT4" ShapeID="_x0000_i1159" DrawAspect="Content" ObjectID="_1468075857" r:id="rId273">
            <o:LockedField>false</o:LockedField>
          </o:OLEObject>
        </w:object>
      </w:r>
      <w:r>
        <w:t xml:space="preserve">     </w:t>
      </w:r>
      <w:r>
        <w:rPr>
          <w:rFonts w:hint="eastAsia"/>
        </w:rPr>
        <w:t xml:space="preserve">        </w:t>
      </w:r>
      <w:r>
        <w:t xml:space="preserve">          </w:t>
      </w:r>
      <w:r>
        <w:rPr>
          <w:rFonts w:cs="Times New Roman"/>
          <w:sz w:val="28"/>
          <w:szCs w:val="28"/>
        </w:rPr>
        <w:t>（5.4.</w:t>
      </w:r>
      <w:r>
        <w:rPr>
          <w:rFonts w:hint="eastAsia" w:cs="Times New Roman"/>
          <w:sz w:val="28"/>
          <w:szCs w:val="28"/>
        </w:rPr>
        <w:t>7</w:t>
      </w:r>
      <w:r>
        <w:rPr>
          <w:rFonts w:cs="Times New Roman"/>
          <w:sz w:val="28"/>
          <w:szCs w:val="28"/>
        </w:rPr>
        <w:t>）</w:t>
      </w:r>
    </w:p>
    <w:tbl>
      <w:tblPr>
        <w:tblStyle w:val="28"/>
        <w:tblW w:w="7934" w:type="dxa"/>
        <w:tblInd w:w="108" w:type="dxa"/>
        <w:tblLayout w:type="fixed"/>
        <w:tblCellMar>
          <w:top w:w="0" w:type="dxa"/>
          <w:left w:w="108" w:type="dxa"/>
          <w:bottom w:w="0" w:type="dxa"/>
          <w:right w:w="108" w:type="dxa"/>
        </w:tblCellMar>
      </w:tblPr>
      <w:tblGrid>
        <w:gridCol w:w="1310"/>
        <w:gridCol w:w="6624"/>
      </w:tblGrid>
      <w:tr w14:paraId="2656220D">
        <w:tblPrEx>
          <w:tblCellMar>
            <w:top w:w="0" w:type="dxa"/>
            <w:left w:w="108" w:type="dxa"/>
            <w:bottom w:w="0" w:type="dxa"/>
            <w:right w:w="108" w:type="dxa"/>
          </w:tblCellMar>
        </w:tblPrEx>
        <w:trPr>
          <w:trHeight w:val="397" w:hRule="atLeast"/>
        </w:trPr>
        <w:tc>
          <w:tcPr>
            <w:tcW w:w="1310" w:type="dxa"/>
          </w:tcPr>
          <w:p w14:paraId="6748CF43">
            <w:pPr>
              <w:pStyle w:val="55"/>
              <w:spacing w:before="31" w:after="31"/>
            </w:pPr>
            <w:r>
              <w:t>式中：</w:t>
            </w:r>
          </w:p>
        </w:tc>
        <w:tc>
          <w:tcPr>
            <w:tcW w:w="6624" w:type="dxa"/>
            <w:vAlign w:val="center"/>
          </w:tcPr>
          <w:p w14:paraId="6F44329A">
            <w:pPr>
              <w:pStyle w:val="55"/>
              <w:spacing w:before="31" w:after="31"/>
              <w:jc w:val="left"/>
            </w:pPr>
          </w:p>
        </w:tc>
      </w:tr>
      <w:tr w14:paraId="22F2A64F">
        <w:tblPrEx>
          <w:tblCellMar>
            <w:top w:w="0" w:type="dxa"/>
            <w:left w:w="108" w:type="dxa"/>
            <w:bottom w:w="0" w:type="dxa"/>
            <w:right w:w="108" w:type="dxa"/>
          </w:tblCellMar>
        </w:tblPrEx>
        <w:trPr>
          <w:trHeight w:val="397" w:hRule="atLeast"/>
        </w:trPr>
        <w:tc>
          <w:tcPr>
            <w:tcW w:w="1310" w:type="dxa"/>
          </w:tcPr>
          <w:p w14:paraId="516519F9">
            <w:pPr>
              <w:pStyle w:val="55"/>
              <w:spacing w:before="31" w:after="31"/>
            </w:pPr>
            <w:r>
              <w:object>
                <v:shape id="_x0000_i1160" o:spt="75" type="#_x0000_t75" style="height:16.1pt;width:16.1pt;" o:ole="t" filled="f" o:preferrelative="t" stroked="f" coordsize="21600,21600">
                  <v:path/>
                  <v:fill on="f" focussize="0,0"/>
                  <v:stroke on="f" joinstyle="miter"/>
                  <v:imagedata r:id="rId276" o:title=""/>
                  <o:lock v:ext="edit" aspectratio="f"/>
                  <w10:wrap type="none"/>
                  <w10:anchorlock/>
                </v:shape>
                <o:OLEObject Type="Embed" ProgID="Equation.DSMT4" ShapeID="_x0000_i1160" DrawAspect="Content" ObjectID="_1468075858" r:id="rId275">
                  <o:LockedField>false</o:LockedField>
                </o:OLEObject>
              </w:object>
            </w:r>
            <w:r>
              <w:t>——</w:t>
            </w:r>
          </w:p>
        </w:tc>
        <w:tc>
          <w:tcPr>
            <w:tcW w:w="6624" w:type="dxa"/>
            <w:vAlign w:val="center"/>
          </w:tcPr>
          <w:p w14:paraId="2EA249B6">
            <w:pPr>
              <w:pStyle w:val="55"/>
              <w:spacing w:before="31" w:after="31"/>
              <w:jc w:val="left"/>
            </w:pPr>
            <w:r>
              <w:rPr>
                <w:rFonts w:hint="eastAsia"/>
              </w:rPr>
              <w:t>原</w:t>
            </w:r>
            <w:r>
              <w:t>墙体加固前的侧向刚度</w:t>
            </w:r>
            <w:r>
              <w:rPr>
                <w:rFonts w:hint="eastAsia"/>
              </w:rPr>
              <w:t>；</w:t>
            </w:r>
          </w:p>
        </w:tc>
      </w:tr>
      <w:tr w14:paraId="43168009">
        <w:tblPrEx>
          <w:tblCellMar>
            <w:top w:w="0" w:type="dxa"/>
            <w:left w:w="108" w:type="dxa"/>
            <w:bottom w:w="0" w:type="dxa"/>
            <w:right w:w="108" w:type="dxa"/>
          </w:tblCellMar>
        </w:tblPrEx>
        <w:trPr>
          <w:trHeight w:val="397" w:hRule="atLeast"/>
        </w:trPr>
        <w:tc>
          <w:tcPr>
            <w:tcW w:w="1310" w:type="dxa"/>
          </w:tcPr>
          <w:p w14:paraId="51E2DA59">
            <w:pPr>
              <w:pStyle w:val="55"/>
              <w:spacing w:before="31" w:after="31"/>
            </w:pPr>
            <w:r>
              <w:object>
                <v:shape id="_x0000_i1161" o:spt="75" type="#_x0000_t75" style="height:19.9pt;width:15.05pt;" o:ole="t" filled="f" o:preferrelative="t" stroked="f" coordsize="21600,21600">
                  <v:path/>
                  <v:fill on="f" focussize="0,0"/>
                  <v:stroke on="f" joinstyle="miter"/>
                  <v:imagedata r:id="rId278" o:title=""/>
                  <o:lock v:ext="edit" aspectratio="t"/>
                  <w10:wrap type="none"/>
                  <w10:anchorlock/>
                </v:shape>
                <o:OLEObject Type="Embed" ProgID="Equation.DSMT4" ShapeID="_x0000_i1161" DrawAspect="Content" ObjectID="_1468075859" r:id="rId277">
                  <o:LockedField>false</o:LockedField>
                </o:OLEObject>
              </w:object>
            </w:r>
            <w:r>
              <w:t>——</w:t>
            </w:r>
          </w:p>
        </w:tc>
        <w:tc>
          <w:tcPr>
            <w:tcW w:w="6624" w:type="dxa"/>
            <w:vAlign w:val="center"/>
          </w:tcPr>
          <w:p w14:paraId="06DF6446">
            <w:pPr>
              <w:pStyle w:val="55"/>
              <w:spacing w:before="31" w:after="31"/>
              <w:jc w:val="left"/>
            </w:pPr>
            <w:r>
              <w:t>高延性混凝土加固后，墙体侧向刚度的提高系数。</w:t>
            </w:r>
          </w:p>
        </w:tc>
      </w:tr>
    </w:tbl>
    <w:p w14:paraId="513AB25C">
      <w:pPr>
        <w:pStyle w:val="3"/>
      </w:pPr>
      <w:bookmarkStart w:id="509" w:name="_Toc24491"/>
      <w:bookmarkStart w:id="510" w:name="_Toc15927"/>
      <w:bookmarkStart w:id="511" w:name="_Toc207111715"/>
      <w:bookmarkStart w:id="512" w:name="_Toc79615802"/>
      <w:bookmarkStart w:id="513" w:name="_Toc63348931"/>
      <w:bookmarkStart w:id="514" w:name="_Toc70169825"/>
      <w:bookmarkStart w:id="515" w:name="_Toc70169745"/>
      <w:bookmarkStart w:id="516" w:name="_Toc63348855"/>
      <w:bookmarkStart w:id="517" w:name="_Toc20428"/>
      <w:bookmarkStart w:id="518" w:name="_Toc24567"/>
      <w:bookmarkStart w:id="519" w:name="_Toc67330599"/>
      <w:bookmarkStart w:id="520" w:name="_Toc29631"/>
      <w:bookmarkStart w:id="521" w:name="_Toc31977"/>
      <w:r>
        <w:rPr>
          <w:rFonts w:hint="eastAsia"/>
        </w:rPr>
        <w:t xml:space="preserve">5.5  </w:t>
      </w:r>
      <w:r>
        <w:rPr>
          <w:rFonts w:hint="eastAsia"/>
          <w:bCs/>
        </w:rPr>
        <w:t>构造要求</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14:paraId="53D94C23">
      <w:pPr>
        <w:pStyle w:val="4"/>
      </w:pPr>
      <w:bookmarkStart w:id="522" w:name="_Toc38358410"/>
      <w:bookmarkStart w:id="523" w:name="_Toc32848348"/>
      <w:bookmarkStart w:id="524" w:name="_Toc48138974"/>
      <w:bookmarkStart w:id="525" w:name="_Toc25070688"/>
      <w:bookmarkStart w:id="526" w:name="_Toc48210141"/>
      <w:bookmarkStart w:id="527" w:name="_Toc48210032"/>
      <w:bookmarkStart w:id="528" w:name="_Toc54256655"/>
      <w:bookmarkStart w:id="529" w:name="_Toc52264504"/>
      <w:bookmarkStart w:id="530" w:name="_Toc38352784"/>
      <w:bookmarkStart w:id="531" w:name="_Toc48210364"/>
      <w:bookmarkStart w:id="532" w:name="_Toc19545271"/>
      <w:bookmarkStart w:id="533" w:name="_Toc25690917"/>
      <w:bookmarkStart w:id="534" w:name="_Toc54255560"/>
      <w:bookmarkStart w:id="535" w:name="_Toc48138896"/>
      <w:bookmarkStart w:id="536" w:name="_Toc32865091"/>
      <w:r>
        <w:rPr>
          <w:b/>
        </w:rPr>
        <w:t>5.5.1</w:t>
      </w:r>
      <w:r>
        <w:t xml:space="preserve">  高延性混凝土加固</w:t>
      </w:r>
      <w:r>
        <w:rPr>
          <w:rFonts w:hint="eastAsia"/>
        </w:rPr>
        <w:t>砌体构件</w:t>
      </w:r>
      <w:r>
        <w:t>应符合下列规定：</w:t>
      </w:r>
    </w:p>
    <w:p w14:paraId="524AB6F3">
      <w:pPr>
        <w:ind w:firstLine="422"/>
      </w:pPr>
      <w:r>
        <w:rPr>
          <w:b/>
          <w:bCs/>
        </w:rPr>
        <w:t>1</w:t>
      </w:r>
      <w:r>
        <w:t xml:space="preserve">  高延性混凝土面层厚度不应小于10mm。当面层厚度大于30mm时，应配置钢筋网片及拉结筋，钢筋直径不应小于6mm；竖向钢筋及水平钢筋的间距不宜大于300mm；双面加固时采用S拉结筋间距不宜大于750mm，单面加固时采用L形锚筋间距不宜大于600mm，具体配筋应根据实际工程由计算确定。</w:t>
      </w:r>
    </w:p>
    <w:p w14:paraId="1759791F">
      <w:pPr>
        <w:ind w:firstLine="422"/>
      </w:pPr>
      <w:r>
        <w:rPr>
          <w:b/>
          <w:bCs/>
        </w:rPr>
        <w:t>2</w:t>
      </w:r>
      <w:r>
        <w:t xml:space="preserve">  宜选用HRB400级钢筋，也可采用HPB300级钢筋</w:t>
      </w:r>
      <w:r>
        <w:rPr>
          <w:rFonts w:hint="eastAsia"/>
        </w:rPr>
        <w:t>。</w:t>
      </w:r>
      <w:r>
        <w:t>竖向钢筋的连接宜采用焊接，钢筋焊接应符合现行行业标准《钢筋焊接及验收规程》JGJ 18的有关规定；当钢筋采用机械连接时，应符合现行行业标准《钢筋机械连接技术规程》JGJ 107的有关规定。</w:t>
      </w:r>
    </w:p>
    <w:p w14:paraId="5E8862DE">
      <w:pPr>
        <w:ind w:firstLine="422"/>
      </w:pPr>
      <w:r>
        <w:rPr>
          <w:b/>
          <w:bCs/>
        </w:rPr>
        <w:t>3</w:t>
      </w:r>
      <w:r>
        <w:t xml:space="preserve">  原砌筑砂浆抗压强度检测推定值低于1.0MPa时，高延性混凝土面层与墙体之间宜采用局部嵌缝等方式进行处理，嵌缝深度宜为10mm~15mm（图5.5.1-</w:t>
      </w:r>
      <w:r>
        <w:rPr>
          <w:rFonts w:hint="eastAsia"/>
        </w:rPr>
        <w:t>1</w:t>
      </w:r>
      <w:r>
        <w:t>）。局部嵌缝</w:t>
      </w:r>
      <w:r>
        <w:rPr>
          <w:rFonts w:hint="eastAsia"/>
        </w:rPr>
        <w:t>宜</w:t>
      </w:r>
      <w:r>
        <w:t>采用梅花状布置，嵌缝净间距不应大于600mm</w:t>
      </w:r>
      <w:r>
        <w:rPr>
          <w:rFonts w:hint="eastAsia"/>
        </w:rPr>
        <w:t>。</w:t>
      </w:r>
    </w:p>
    <w:p w14:paraId="3145B8DD">
      <w:pPr>
        <w:pStyle w:val="55"/>
        <w:spacing w:before="31" w:after="31"/>
      </w:pPr>
      <w:r>
        <w:drawing>
          <wp:inline distT="0" distB="0" distL="114300" distR="114300">
            <wp:extent cx="3409950" cy="2067560"/>
            <wp:effectExtent l="0" t="0" r="3810" b="5080"/>
            <wp:docPr id="48"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14"/>
                    <pic:cNvPicPr>
                      <a:picLocks noChangeAspect="1"/>
                    </pic:cNvPicPr>
                  </pic:nvPicPr>
                  <pic:blipFill>
                    <a:blip r:embed="rId279"/>
                    <a:stretch>
                      <a:fillRect/>
                    </a:stretch>
                  </pic:blipFill>
                  <pic:spPr>
                    <a:xfrm>
                      <a:off x="0" y="0"/>
                      <a:ext cx="3409950" cy="2067560"/>
                    </a:xfrm>
                    <a:prstGeom prst="rect">
                      <a:avLst/>
                    </a:prstGeom>
                    <a:noFill/>
                    <a:ln>
                      <a:noFill/>
                    </a:ln>
                  </pic:spPr>
                </pic:pic>
              </a:graphicData>
            </a:graphic>
          </wp:inline>
        </w:drawing>
      </w:r>
    </w:p>
    <w:p w14:paraId="5AD1C46F">
      <w:pPr>
        <w:pStyle w:val="55"/>
        <w:spacing w:before="31" w:after="31"/>
        <w:rPr>
          <w:rFonts w:cs="Times New Roman"/>
          <w:szCs w:val="21"/>
        </w:rPr>
      </w:pPr>
      <w:r>
        <w:rPr>
          <w:rFonts w:cs="Times New Roman"/>
          <w:szCs w:val="21"/>
        </w:rPr>
        <w:t>（a）局部嵌缝剖面示意图      （b）局部嵌缝立面示意图</w:t>
      </w:r>
    </w:p>
    <w:p w14:paraId="3C69C179">
      <w:pPr>
        <w:pStyle w:val="55"/>
        <w:spacing w:before="31" w:after="31"/>
        <w:rPr>
          <w:rFonts w:cs="Times New Roman"/>
          <w:szCs w:val="21"/>
        </w:rPr>
      </w:pPr>
      <w:r>
        <w:rPr>
          <w:rFonts w:cs="Times New Roman"/>
          <w:szCs w:val="21"/>
        </w:rPr>
        <w:t>图5.5.1-</w:t>
      </w:r>
      <w:r>
        <w:rPr>
          <w:rFonts w:hint="eastAsia" w:cs="Times New Roman"/>
          <w:szCs w:val="21"/>
        </w:rPr>
        <w:t>1</w:t>
      </w:r>
      <w:r>
        <w:rPr>
          <w:rFonts w:cs="Times New Roman"/>
          <w:szCs w:val="21"/>
        </w:rPr>
        <w:t xml:space="preserve">  高延性混凝土面层嵌缝示意图</w:t>
      </w:r>
    </w:p>
    <w:p w14:paraId="40300F0E">
      <w:pPr>
        <w:pStyle w:val="55"/>
        <w:spacing w:before="31" w:after="31"/>
        <w:rPr>
          <w:rFonts w:cs="Times New Roman"/>
          <w:szCs w:val="21"/>
        </w:rPr>
      </w:pPr>
      <w:r>
        <w:rPr>
          <w:rFonts w:cs="Times New Roman"/>
          <w:szCs w:val="21"/>
        </w:rPr>
        <w:t>1</w:t>
      </w:r>
      <w:r>
        <w:rPr>
          <w:rFonts w:hint="eastAsia" w:cs="Times New Roman"/>
          <w:szCs w:val="21"/>
        </w:rPr>
        <w:t>-</w:t>
      </w:r>
      <w:r>
        <w:rPr>
          <w:rFonts w:cs="Times New Roman"/>
          <w:szCs w:val="21"/>
        </w:rPr>
        <w:t>高延性混凝土嵌缝；2</w:t>
      </w:r>
      <w:r>
        <w:rPr>
          <w:rFonts w:hint="eastAsia" w:cs="Times New Roman"/>
          <w:szCs w:val="21"/>
        </w:rPr>
        <w:t>-</w:t>
      </w:r>
      <w:r>
        <w:rPr>
          <w:rFonts w:cs="Times New Roman"/>
          <w:szCs w:val="21"/>
        </w:rPr>
        <w:t>高延性混凝土面层</w:t>
      </w:r>
    </w:p>
    <w:p w14:paraId="0EBE6C99">
      <w:pPr>
        <w:pStyle w:val="4"/>
      </w:pPr>
      <w:r>
        <w:rPr>
          <w:b/>
        </w:rPr>
        <w:t>4</w:t>
      </w:r>
      <w:r>
        <w:t xml:space="preserve">  </w:t>
      </w:r>
      <w:r>
        <w:rPr>
          <w:rFonts w:hint="eastAsia"/>
        </w:rPr>
        <w:t>面层端部应采用嵌缝、开槽或L型倒角等锚固加强措施（图5.1.1-2）。</w:t>
      </w:r>
    </w:p>
    <w:tbl>
      <w:tblPr>
        <w:tblStyle w:val="28"/>
        <w:tblW w:w="6122" w:type="dxa"/>
        <w:jc w:val="center"/>
        <w:tblLayout w:type="fixed"/>
        <w:tblCellMar>
          <w:top w:w="0" w:type="dxa"/>
          <w:left w:w="0" w:type="dxa"/>
          <w:bottom w:w="0" w:type="dxa"/>
          <w:right w:w="0" w:type="dxa"/>
        </w:tblCellMar>
      </w:tblPr>
      <w:tblGrid>
        <w:gridCol w:w="3061"/>
        <w:gridCol w:w="3061"/>
      </w:tblGrid>
      <w:tr w14:paraId="23654347">
        <w:tblPrEx>
          <w:tblCellMar>
            <w:top w:w="0" w:type="dxa"/>
            <w:left w:w="0" w:type="dxa"/>
            <w:bottom w:w="0" w:type="dxa"/>
            <w:right w:w="0" w:type="dxa"/>
          </w:tblCellMar>
        </w:tblPrEx>
        <w:trPr>
          <w:trHeight w:val="1233" w:hRule="atLeast"/>
          <w:jc w:val="center"/>
        </w:trPr>
        <w:tc>
          <w:tcPr>
            <w:tcW w:w="3061" w:type="dxa"/>
            <w:vAlign w:val="bottom"/>
          </w:tcPr>
          <w:p w14:paraId="3A58DB43">
            <w:pPr>
              <w:pStyle w:val="55"/>
              <w:spacing w:before="31" w:after="31"/>
            </w:pPr>
            <w:r>
              <w:drawing>
                <wp:inline distT="0" distB="0" distL="114300" distR="114300">
                  <wp:extent cx="1800860" cy="647700"/>
                  <wp:effectExtent l="0" t="0" r="12700" b="6985"/>
                  <wp:docPr id="21"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4"/>
                          <pic:cNvPicPr>
                            <a:picLocks noChangeAspect="1"/>
                          </pic:cNvPicPr>
                        </pic:nvPicPr>
                        <pic:blipFill>
                          <a:blip r:embed="rId280"/>
                          <a:stretch>
                            <a:fillRect/>
                          </a:stretch>
                        </pic:blipFill>
                        <pic:spPr>
                          <a:xfrm>
                            <a:off x="0" y="0"/>
                            <a:ext cx="1800860" cy="647700"/>
                          </a:xfrm>
                          <a:prstGeom prst="rect">
                            <a:avLst/>
                          </a:prstGeom>
                          <a:noFill/>
                          <a:ln>
                            <a:noFill/>
                          </a:ln>
                        </pic:spPr>
                      </pic:pic>
                    </a:graphicData>
                  </a:graphic>
                </wp:inline>
              </w:drawing>
            </w:r>
          </w:p>
        </w:tc>
        <w:tc>
          <w:tcPr>
            <w:tcW w:w="3061" w:type="dxa"/>
            <w:vAlign w:val="bottom"/>
          </w:tcPr>
          <w:p w14:paraId="7DE05D39">
            <w:pPr>
              <w:pStyle w:val="55"/>
              <w:spacing w:before="31" w:after="31"/>
            </w:pPr>
            <w:r>
              <w:drawing>
                <wp:inline distT="0" distB="0" distL="114300" distR="114300">
                  <wp:extent cx="1059180" cy="695325"/>
                  <wp:effectExtent l="0" t="0" r="7620" b="5715"/>
                  <wp:docPr id="28"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6"/>
                          <pic:cNvPicPr>
                            <a:picLocks noChangeAspect="1"/>
                          </pic:cNvPicPr>
                        </pic:nvPicPr>
                        <pic:blipFill>
                          <a:blip r:embed="rId281"/>
                          <a:stretch>
                            <a:fillRect/>
                          </a:stretch>
                        </pic:blipFill>
                        <pic:spPr>
                          <a:xfrm>
                            <a:off x="0" y="0"/>
                            <a:ext cx="1059180" cy="695325"/>
                          </a:xfrm>
                          <a:prstGeom prst="rect">
                            <a:avLst/>
                          </a:prstGeom>
                          <a:noFill/>
                          <a:ln>
                            <a:noFill/>
                          </a:ln>
                        </pic:spPr>
                      </pic:pic>
                    </a:graphicData>
                  </a:graphic>
                </wp:inline>
              </w:drawing>
            </w:r>
          </w:p>
        </w:tc>
      </w:tr>
      <w:tr w14:paraId="57D9C407">
        <w:tblPrEx>
          <w:tblCellMar>
            <w:top w:w="0" w:type="dxa"/>
            <w:left w:w="0" w:type="dxa"/>
            <w:bottom w:w="0" w:type="dxa"/>
            <w:right w:w="0" w:type="dxa"/>
          </w:tblCellMar>
        </w:tblPrEx>
        <w:trPr>
          <w:jc w:val="center"/>
        </w:trPr>
        <w:tc>
          <w:tcPr>
            <w:tcW w:w="3061" w:type="dxa"/>
            <w:vAlign w:val="center"/>
          </w:tcPr>
          <w:p w14:paraId="7ED2C019">
            <w:pPr>
              <w:pStyle w:val="55"/>
              <w:spacing w:before="31" w:after="31"/>
              <w:rPr>
                <w:rFonts w:eastAsia="方正书宋简体"/>
                <w:szCs w:val="21"/>
              </w:rPr>
            </w:pPr>
            <w:r>
              <w:rPr>
                <w:rFonts w:eastAsia="方正书宋简体"/>
                <w:szCs w:val="21"/>
              </w:rPr>
              <w:t>（a）面层端部L形倒角</w:t>
            </w:r>
          </w:p>
        </w:tc>
        <w:tc>
          <w:tcPr>
            <w:tcW w:w="3061" w:type="dxa"/>
            <w:vAlign w:val="center"/>
          </w:tcPr>
          <w:p w14:paraId="76207FF5">
            <w:pPr>
              <w:pStyle w:val="55"/>
              <w:spacing w:before="31" w:after="31"/>
              <w:rPr>
                <w:rFonts w:eastAsia="方正书宋简体"/>
                <w:szCs w:val="21"/>
              </w:rPr>
            </w:pPr>
            <w:r>
              <w:rPr>
                <w:rFonts w:eastAsia="方正书宋简体"/>
                <w:szCs w:val="21"/>
              </w:rPr>
              <w:t>（b）面层端部</w:t>
            </w:r>
            <w:r>
              <w:rPr>
                <w:rFonts w:hint="eastAsia" w:eastAsia="方正书宋简体"/>
                <w:szCs w:val="21"/>
              </w:rPr>
              <w:t>开槽</w:t>
            </w:r>
            <w:r>
              <w:rPr>
                <w:rFonts w:eastAsia="方正书宋简体"/>
                <w:szCs w:val="21"/>
              </w:rPr>
              <w:t>嵌入墙内</w:t>
            </w:r>
          </w:p>
        </w:tc>
      </w:tr>
      <w:tr w14:paraId="7B1D71B8">
        <w:tblPrEx>
          <w:tblCellMar>
            <w:top w:w="0" w:type="dxa"/>
            <w:left w:w="0" w:type="dxa"/>
            <w:bottom w:w="0" w:type="dxa"/>
            <w:right w:w="0" w:type="dxa"/>
          </w:tblCellMar>
        </w:tblPrEx>
        <w:trPr>
          <w:jc w:val="center"/>
        </w:trPr>
        <w:tc>
          <w:tcPr>
            <w:tcW w:w="6122" w:type="dxa"/>
            <w:gridSpan w:val="2"/>
            <w:vAlign w:val="center"/>
          </w:tcPr>
          <w:p w14:paraId="58421B48">
            <w:pPr>
              <w:pStyle w:val="55"/>
              <w:spacing w:before="31" w:after="31"/>
              <w:rPr>
                <w:rFonts w:eastAsia="方正书宋简体"/>
                <w:szCs w:val="21"/>
              </w:rPr>
            </w:pPr>
            <w:r>
              <w:rPr>
                <w:rFonts w:cs="Times New Roman"/>
                <w:szCs w:val="21"/>
              </w:rPr>
              <w:t>图5.5.1-</w:t>
            </w:r>
            <w:r>
              <w:rPr>
                <w:rFonts w:hint="eastAsia" w:cs="Times New Roman"/>
                <w:szCs w:val="21"/>
              </w:rPr>
              <w:t>2</w:t>
            </w:r>
            <w:r>
              <w:rPr>
                <w:rFonts w:cs="Times New Roman"/>
                <w:szCs w:val="21"/>
              </w:rPr>
              <w:t xml:space="preserve">  高延性混凝土面层嵌缝示意图</w:t>
            </w:r>
          </w:p>
        </w:tc>
      </w:tr>
      <w:tr w14:paraId="326E1206">
        <w:tblPrEx>
          <w:tblCellMar>
            <w:top w:w="0" w:type="dxa"/>
            <w:left w:w="0" w:type="dxa"/>
            <w:bottom w:w="0" w:type="dxa"/>
            <w:right w:w="0" w:type="dxa"/>
          </w:tblCellMar>
        </w:tblPrEx>
        <w:trPr>
          <w:jc w:val="center"/>
        </w:trPr>
        <w:tc>
          <w:tcPr>
            <w:tcW w:w="6122" w:type="dxa"/>
            <w:gridSpan w:val="2"/>
            <w:vAlign w:val="center"/>
          </w:tcPr>
          <w:p w14:paraId="33A09482">
            <w:pPr>
              <w:pStyle w:val="55"/>
              <w:spacing w:before="31" w:after="31"/>
              <w:rPr>
                <w:rFonts w:eastAsia="方正书宋简体"/>
                <w:szCs w:val="21"/>
              </w:rPr>
            </w:pPr>
            <w:r>
              <w:rPr>
                <w:szCs w:val="21"/>
              </w:rPr>
              <w:t>1</w:t>
            </w:r>
            <w:r>
              <w:rPr>
                <w:rFonts w:hint="eastAsia"/>
                <w:szCs w:val="21"/>
              </w:rPr>
              <w:t>-高延性混凝土</w:t>
            </w:r>
          </w:p>
        </w:tc>
      </w:tr>
    </w:tbl>
    <w:p w14:paraId="43B63F01">
      <w:pPr>
        <w:ind w:firstLine="422"/>
      </w:pPr>
      <w:r>
        <w:rPr>
          <w:b/>
          <w:bCs/>
        </w:rPr>
        <w:t>5</w:t>
      </w:r>
      <w:r>
        <w:t xml:space="preserve">  遇门窗洞口时，单面加固宜将面层延伸至洞口侧边锚固，双面加固宜将两侧的面层在洞口处闭合</w:t>
      </w:r>
      <w:r>
        <w:rPr>
          <w:rFonts w:hint="eastAsia"/>
        </w:rPr>
        <w:t>。</w:t>
      </w:r>
    </w:p>
    <w:p w14:paraId="419BE680">
      <w:pPr>
        <w:ind w:firstLine="422"/>
      </w:pPr>
      <w:r>
        <w:rPr>
          <w:b/>
        </w:rPr>
        <w:t>6</w:t>
      </w:r>
      <w:r>
        <w:t xml:space="preserve">  配筋高延性混凝土面层加固</w:t>
      </w:r>
      <w:r>
        <w:rPr>
          <w:rFonts w:hint="eastAsia"/>
        </w:rPr>
        <w:t>法加固</w:t>
      </w:r>
      <w:r>
        <w:t>砌体</w:t>
      </w:r>
      <w:r>
        <w:rPr>
          <w:rFonts w:hint="eastAsia"/>
        </w:rPr>
        <w:t>构件</w:t>
      </w:r>
      <w:r>
        <w:t>时，竖向钢筋宜采用等代集中配置穿板连接筋的方式穿过楼板，</w:t>
      </w:r>
      <w:r>
        <w:rPr>
          <w:rFonts w:hint="eastAsia"/>
        </w:rPr>
        <w:t>并应符合下列规定：</w:t>
      </w:r>
    </w:p>
    <w:p w14:paraId="14E68DE0">
      <w:pPr>
        <w:ind w:firstLine="420"/>
      </w:pPr>
      <w:r>
        <w:t>穿板连接筋宜采用HRB400级钢筋，直径宜大于上下层配筋高延性混凝土面层中竖向钢筋的直径，穿板连接筋的间距宜为600mm；</w:t>
      </w:r>
    </w:p>
    <w:p w14:paraId="6BDD87E4">
      <w:pPr>
        <w:ind w:firstLine="420"/>
      </w:pPr>
      <w:r>
        <w:rPr>
          <w:rFonts w:hint="eastAsia"/>
        </w:rPr>
        <w:t>楼板为</w:t>
      </w:r>
      <w:r>
        <w:t>预制楼板</w:t>
      </w:r>
      <w:r>
        <w:rPr>
          <w:rFonts w:hint="eastAsia"/>
        </w:rPr>
        <w:t>时，竖向钢筋</w:t>
      </w:r>
      <w:r>
        <w:t>宜从板缝之间穿过</w:t>
      </w:r>
      <w:r>
        <w:rPr>
          <w:rFonts w:hint="eastAsia"/>
        </w:rPr>
        <w:t>；</w:t>
      </w:r>
    </w:p>
    <w:p w14:paraId="2CB3148A">
      <w:pPr>
        <w:ind w:firstLine="420"/>
      </w:pPr>
      <w:r>
        <w:t>穿板连接筋与上、下层配筋面层中竖向钢筋的搭接长度</w:t>
      </w:r>
      <w:r>
        <w:rPr>
          <w:i/>
          <w:iCs/>
        </w:rPr>
        <w:t>l</w:t>
      </w:r>
      <w:r>
        <w:rPr>
          <w:i/>
          <w:iCs/>
          <w:vertAlign w:val="subscript"/>
        </w:rPr>
        <w:t>l</w:t>
      </w:r>
      <w:r>
        <w:t>应符合现行国家标准《混凝土结构设计规范》GB 50010的有关规定，且不</w:t>
      </w:r>
      <w:r>
        <w:rPr>
          <w:rFonts w:hint="eastAsia"/>
        </w:rPr>
        <w:t>应</w:t>
      </w:r>
      <w:r>
        <w:t>小于400mm。</w:t>
      </w:r>
    </w:p>
    <w:p w14:paraId="6D27BC62">
      <w:pPr>
        <w:ind w:firstLine="422"/>
      </w:pPr>
      <w:r>
        <w:rPr>
          <w:b/>
          <w:bCs/>
        </w:rPr>
        <w:t>7</w:t>
      </w:r>
      <w:r>
        <w:t xml:space="preserve">  采用高延性混凝土加固空斗墙</w:t>
      </w:r>
      <w:r>
        <w:rPr>
          <w:rFonts w:hint="eastAsia"/>
        </w:rPr>
        <w:t>构件</w:t>
      </w:r>
      <w:r>
        <w:t>时，应采用双面加固。加固面层中配置钢筋网，S形拉结筋和L形锚筋所在位置在眠砖与立砖处穿墙设置，应采用灌浆料灌注填实。无眠全斗</w:t>
      </w:r>
      <w:r>
        <w:rPr>
          <w:rFonts w:hint="eastAsia"/>
        </w:rPr>
        <w:t>形式</w:t>
      </w:r>
      <w:r>
        <w:t>的空斗墙不宜采用高延性混凝土加固。</w:t>
      </w:r>
    </w:p>
    <w:p w14:paraId="2872FC08">
      <w:pPr>
        <w:pStyle w:val="4"/>
      </w:pPr>
      <w:r>
        <w:rPr>
          <w:b/>
        </w:rPr>
        <w:t>5.5.2</w:t>
      </w:r>
      <w:r>
        <w:t xml:space="preserve">  砌体</w:t>
      </w:r>
      <w:r>
        <w:rPr>
          <w:rFonts w:hint="eastAsia"/>
        </w:rPr>
        <w:t>抗压加固</w:t>
      </w:r>
      <w:r>
        <w:t>时，</w:t>
      </w:r>
      <w:r>
        <w:rPr>
          <w:rFonts w:hint="eastAsia"/>
        </w:rPr>
        <w:t>应符合下列规定：</w:t>
      </w:r>
    </w:p>
    <w:p w14:paraId="5E3B7F45">
      <w:pPr>
        <w:ind w:firstLine="422"/>
      </w:pPr>
      <w:r>
        <w:rPr>
          <w:b/>
          <w:bCs/>
        </w:rPr>
        <w:t>1</w:t>
      </w:r>
      <w:r>
        <w:t xml:space="preserve">  高延性混凝土面层加固砌体受压构件，宜采用双面加固，面层厚度不宜小于15mm；当采用单面加固时，面层厚度不宜小于20mm；</w:t>
      </w:r>
    </w:p>
    <w:p w14:paraId="2B8E5508">
      <w:pPr>
        <w:ind w:firstLine="422"/>
      </w:pPr>
      <w:r>
        <w:rPr>
          <w:b/>
          <w:bCs/>
        </w:rPr>
        <w:t>2</w:t>
      </w:r>
      <w:r>
        <w:t xml:space="preserve">  配筋高延性混凝土面层中纵向受力钢筋的上端宜锚入有配筋的混凝土构件内，伸入地下一端应锚固在基础内，锚固应采用锚固型结构胶，结构胶的性能应符合现行国家标准《工程结构加固材料安全性鉴定技术规范》GB 50728中对结构胶粘剂安全性鉴定的相关规定；</w:t>
      </w:r>
    </w:p>
    <w:p w14:paraId="0E60DB04">
      <w:pPr>
        <w:ind w:firstLine="422"/>
      </w:pPr>
      <w:r>
        <w:rPr>
          <w:b/>
          <w:bCs/>
        </w:rPr>
        <w:t>3</w:t>
      </w:r>
      <w:r>
        <w:t xml:space="preserve">  采用高延性混凝土面层加固，当面层厚度大于20mm时，宜采用拉结钢筋增强面层与墙体的可靠拉结，拉结钢筋的间距不宜大于600mm，且宜为梅花状布置。对多孔砖砌体墙，拉结件宜设置在多孔砖上，应采用灌浆料灌注密实；</w:t>
      </w:r>
    </w:p>
    <w:p w14:paraId="34BEEA64">
      <w:pPr>
        <w:ind w:firstLine="422"/>
      </w:pPr>
      <w:r>
        <w:rPr>
          <w:b/>
          <w:bCs/>
        </w:rPr>
        <w:t>4</w:t>
      </w:r>
      <w:r>
        <w:t xml:space="preserve">  对独立承重砖柱和高宽比大于4的窗间墙，宜采用高延性混凝土面层围套加固，面层厚度不宜小于20mm；当面层厚度大于30mm时，应配置纵向钢筋和闭合箍筋，竖向钢筋宜采用HRB400级钢筋、直径不宜小于10mm，闭合箍筋的直径不宜小于6mm、间距不宜大于150mm，具体配筋应根据实际工程由计算确定</w:t>
      </w:r>
      <w:r>
        <w:rPr>
          <w:rFonts w:hint="eastAsia"/>
        </w:rPr>
        <w:t>；</w:t>
      </w:r>
    </w:p>
    <w:p w14:paraId="1B32D22D">
      <w:pPr>
        <w:ind w:firstLine="422"/>
      </w:pPr>
      <w:r>
        <w:rPr>
          <w:b/>
          <w:bCs/>
        </w:rPr>
        <w:t>5</w:t>
      </w:r>
      <w:r>
        <w:t xml:space="preserve">  底层墙体的高延性混凝土面层，应向下延伸至基础顶面。</w:t>
      </w:r>
    </w:p>
    <w:p w14:paraId="07B5C5A5">
      <w:pPr>
        <w:pStyle w:val="4"/>
      </w:pPr>
      <w:r>
        <w:rPr>
          <w:b/>
        </w:rPr>
        <w:t>5.5.3</w:t>
      </w:r>
      <w:r>
        <w:t xml:space="preserve">  </w:t>
      </w:r>
      <w:r>
        <w:rPr>
          <w:rFonts w:hint="eastAsia"/>
        </w:rPr>
        <w:t>砌体</w:t>
      </w:r>
      <w:r>
        <w:t>抗剪</w:t>
      </w:r>
      <w:r>
        <w:rPr>
          <w:rFonts w:hint="eastAsia"/>
        </w:rPr>
        <w:t>加固</w:t>
      </w:r>
      <w:r>
        <w:t>和</w:t>
      </w:r>
      <w:r>
        <w:rPr>
          <w:rFonts w:hint="eastAsia"/>
        </w:rPr>
        <w:t>砌体</w:t>
      </w:r>
      <w:r>
        <w:t>抗震加固时，</w:t>
      </w:r>
      <w:r>
        <w:rPr>
          <w:rFonts w:hint="eastAsia"/>
        </w:rPr>
        <w:t>应符合下列规定：</w:t>
      </w:r>
    </w:p>
    <w:p w14:paraId="636BEE61">
      <w:pPr>
        <w:ind w:firstLine="422"/>
      </w:pPr>
      <w:r>
        <w:rPr>
          <w:b/>
          <w:bCs/>
        </w:rPr>
        <w:t>1</w:t>
      </w:r>
      <w:r>
        <w:t xml:space="preserve">  宜采用双面加固，单侧面层厚度不应小于10mm；当采用单面加固时，面层厚度不应小于15mm；</w:t>
      </w:r>
    </w:p>
    <w:p w14:paraId="3EA4FC38">
      <w:pPr>
        <w:ind w:firstLine="422"/>
      </w:pPr>
      <w:r>
        <w:rPr>
          <w:b/>
          <w:bCs/>
        </w:rPr>
        <w:t>2</w:t>
      </w:r>
      <w:r>
        <w:t xml:space="preserve">  底层外墙的高延性混凝土面层，在室外宜伸入地面以下200mm或伸至地圈梁顶面；</w:t>
      </w:r>
    </w:p>
    <w:p w14:paraId="5A6CC948">
      <w:pPr>
        <w:ind w:firstLine="422"/>
      </w:pPr>
      <w:r>
        <w:rPr>
          <w:b/>
          <w:bCs/>
        </w:rPr>
        <w:t>3</w:t>
      </w:r>
      <w:r>
        <w:t xml:space="preserve">  独立砖柱的抗剪及抗震加固方法同抗压加固；</w:t>
      </w:r>
    </w:p>
    <w:p w14:paraId="1A72C04D">
      <w:pPr>
        <w:ind w:firstLine="422"/>
      </w:pPr>
      <w:r>
        <w:rPr>
          <w:b/>
          <w:bCs/>
        </w:rPr>
        <w:t>4</w:t>
      </w:r>
      <w:r>
        <w:t xml:space="preserve">  底层的配筋高延性混凝土面层在室外地面下宜加厚并伸入地面以下500mm。</w:t>
      </w:r>
    </w:p>
    <w:p w14:paraId="3F480817">
      <w:pPr>
        <w:pStyle w:val="4"/>
      </w:pPr>
      <w:r>
        <w:rPr>
          <w:b/>
        </w:rPr>
        <w:t xml:space="preserve">5.5.4 </w:t>
      </w:r>
      <w:r>
        <w:t xml:space="preserve"> 当圈梁和构造柱设置不满足要求时，可采用高延性混凝土-砌体组合圈梁和高延性混凝土-砌体组合构造柱对房屋进行整体性加固（图5.5.4），整体性加固应符合下列规定：</w:t>
      </w:r>
    </w:p>
    <w:p w14:paraId="496B2416">
      <w:pPr>
        <w:ind w:firstLine="422"/>
      </w:pPr>
      <w:r>
        <w:rPr>
          <w:b/>
          <w:bCs/>
        </w:rPr>
        <w:t>1</w:t>
      </w:r>
      <w:r>
        <w:t xml:space="preserve">  组合圈梁高度不小于350mm，面层厚度不应小于</w:t>
      </w:r>
      <w:r>
        <w:rPr>
          <w:rFonts w:asciiTheme="minorEastAsia" w:hAnsiTheme="minorEastAsia"/>
        </w:rPr>
        <w:t>40</w:t>
      </w:r>
      <w:r>
        <w:t>mm；</w:t>
      </w:r>
    </w:p>
    <w:p w14:paraId="2E542FA4">
      <w:pPr>
        <w:ind w:firstLine="422"/>
      </w:pPr>
      <w:r>
        <w:rPr>
          <w:b/>
          <w:bCs/>
        </w:rPr>
        <w:t>2</w:t>
      </w:r>
      <w:r>
        <w:t xml:space="preserve">  高延性混凝土-砌体组合构造柱的面层厚度不应小于40mm，且配筋面层在墙体拐角处应加宽不小于</w:t>
      </w:r>
      <w:r>
        <w:rPr>
          <w:rFonts w:asciiTheme="minorEastAsia" w:hAnsiTheme="minorEastAsia"/>
        </w:rPr>
        <w:t>150</w:t>
      </w:r>
      <w:r>
        <w:t>mm；</w:t>
      </w:r>
    </w:p>
    <w:p w14:paraId="6EB483A3">
      <w:pPr>
        <w:ind w:firstLine="422"/>
      </w:pPr>
      <w:r>
        <w:rPr>
          <w:b/>
        </w:rPr>
        <w:t xml:space="preserve">3  </w:t>
      </w:r>
      <w:r>
        <w:t>组合圈梁和组合构造柱的纵筋宜采用HRB</w:t>
      </w:r>
      <w:r>
        <w:rPr>
          <w:rFonts w:asciiTheme="minorEastAsia" w:hAnsiTheme="minorEastAsia"/>
        </w:rPr>
        <w:t>4</w:t>
      </w:r>
      <w:r>
        <w:t>00级钢筋，箍筋宜采用HPB300级钢筋</w:t>
      </w:r>
      <w:r>
        <w:rPr>
          <w:rFonts w:hint="eastAsia"/>
        </w:rPr>
        <w:t>。</w:t>
      </w:r>
      <w:r>
        <w:t>组合圈梁的纵筋和箍筋直径不应小于10mm和6mm，组合构造柱的纵筋和箍筋直径分别不应小于1</w:t>
      </w:r>
      <w:r>
        <w:rPr>
          <w:rFonts w:asciiTheme="minorEastAsia" w:hAnsiTheme="minorEastAsia"/>
        </w:rPr>
        <w:t>2</w:t>
      </w:r>
      <w:r>
        <w:t>mm和8mm，箍筋间距不宜大于300mm。</w:t>
      </w:r>
      <w:r>
        <w:rPr>
          <w:spacing w:val="1"/>
        </w:rPr>
        <w:t>组合圈梁和组合构造柱的纵筋、箍筋的设置</w:t>
      </w:r>
      <w:r>
        <w:t>同时应满足现行国家标准《混凝土结构设计规范》GB 50010</w:t>
      </w:r>
      <w:r>
        <w:rPr>
          <w:spacing w:val="1"/>
        </w:rPr>
        <w:t>等相关规范的要求</w:t>
      </w:r>
      <w:r>
        <w:t>。</w:t>
      </w:r>
    </w:p>
    <w:p w14:paraId="1E2AF4FC">
      <w:pPr>
        <w:pStyle w:val="55"/>
        <w:spacing w:before="31" w:after="31"/>
      </w:pPr>
      <w:r>
        <w:drawing>
          <wp:inline distT="0" distB="0" distL="114300" distR="114300">
            <wp:extent cx="1340485" cy="1619885"/>
            <wp:effectExtent l="0" t="0" r="0" b="0"/>
            <wp:docPr id="6"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0"/>
                    <pic:cNvPicPr>
                      <a:picLocks noChangeAspect="1"/>
                    </pic:cNvPicPr>
                  </pic:nvPicPr>
                  <pic:blipFill>
                    <a:blip r:embed="rId282"/>
                    <a:stretch>
                      <a:fillRect/>
                    </a:stretch>
                  </pic:blipFill>
                  <pic:spPr>
                    <a:xfrm>
                      <a:off x="0" y="0"/>
                      <a:ext cx="1340485" cy="1619885"/>
                    </a:xfrm>
                    <a:prstGeom prst="rect">
                      <a:avLst/>
                    </a:prstGeom>
                    <a:noFill/>
                    <a:ln>
                      <a:noFill/>
                    </a:ln>
                  </pic:spPr>
                </pic:pic>
              </a:graphicData>
            </a:graphic>
          </wp:inline>
        </w:drawing>
      </w:r>
      <w:r>
        <w:t xml:space="preserve">           </w:t>
      </w:r>
      <w:r>
        <w:drawing>
          <wp:inline distT="0" distB="0" distL="114300" distR="114300">
            <wp:extent cx="1756410" cy="1800225"/>
            <wp:effectExtent l="0" t="0" r="0" b="0"/>
            <wp:docPr id="4"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1"/>
                    <pic:cNvPicPr>
                      <a:picLocks noChangeAspect="1"/>
                    </pic:cNvPicPr>
                  </pic:nvPicPr>
                  <pic:blipFill>
                    <a:blip r:embed="rId283"/>
                    <a:stretch>
                      <a:fillRect/>
                    </a:stretch>
                  </pic:blipFill>
                  <pic:spPr>
                    <a:xfrm>
                      <a:off x="0" y="0"/>
                      <a:ext cx="1756410" cy="1800225"/>
                    </a:xfrm>
                    <a:prstGeom prst="rect">
                      <a:avLst/>
                    </a:prstGeom>
                    <a:noFill/>
                    <a:ln>
                      <a:noFill/>
                    </a:ln>
                  </pic:spPr>
                </pic:pic>
              </a:graphicData>
            </a:graphic>
          </wp:inline>
        </w:drawing>
      </w:r>
    </w:p>
    <w:p w14:paraId="71052942">
      <w:pPr>
        <w:pStyle w:val="55"/>
        <w:spacing w:before="31" w:after="31"/>
        <w:rPr>
          <w:szCs w:val="21"/>
        </w:rPr>
      </w:pPr>
      <w:r>
        <w:rPr>
          <w:szCs w:val="21"/>
        </w:rPr>
        <w:t>（a）组合圈梁                    （b）组合构造柱1</w:t>
      </w:r>
    </w:p>
    <w:p w14:paraId="6E0CAE47">
      <w:pPr>
        <w:pStyle w:val="55"/>
        <w:spacing w:before="31" w:after="31"/>
      </w:pPr>
      <w:r>
        <w:rPr>
          <w:rFonts w:hint="eastAsia"/>
        </w:rPr>
        <w:t xml:space="preserve">   </w:t>
      </w:r>
      <w:r>
        <w:drawing>
          <wp:inline distT="0" distB="0" distL="114300" distR="114300">
            <wp:extent cx="1572895" cy="1361440"/>
            <wp:effectExtent l="0" t="0" r="0" b="10160"/>
            <wp:docPr id="59"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20"/>
                    <pic:cNvPicPr>
                      <a:picLocks noChangeAspect="1"/>
                    </pic:cNvPicPr>
                  </pic:nvPicPr>
                  <pic:blipFill>
                    <a:blip r:embed="rId284"/>
                    <a:stretch>
                      <a:fillRect/>
                    </a:stretch>
                  </pic:blipFill>
                  <pic:spPr>
                    <a:xfrm>
                      <a:off x="0" y="0"/>
                      <a:ext cx="1572895" cy="1361440"/>
                    </a:xfrm>
                    <a:prstGeom prst="rect">
                      <a:avLst/>
                    </a:prstGeom>
                    <a:noFill/>
                    <a:ln>
                      <a:noFill/>
                    </a:ln>
                  </pic:spPr>
                </pic:pic>
              </a:graphicData>
            </a:graphic>
          </wp:inline>
        </w:drawing>
      </w:r>
    </w:p>
    <w:p w14:paraId="7786C9CF">
      <w:pPr>
        <w:pStyle w:val="55"/>
        <w:spacing w:before="31" w:after="31"/>
        <w:rPr>
          <w:szCs w:val="21"/>
        </w:rPr>
      </w:pPr>
      <w:r>
        <w:rPr>
          <w:szCs w:val="21"/>
        </w:rPr>
        <w:t xml:space="preserve">（c）组合构造柱2                </w:t>
      </w:r>
    </w:p>
    <w:p w14:paraId="08F8F952">
      <w:pPr>
        <w:pStyle w:val="55"/>
        <w:spacing w:before="31" w:after="31"/>
        <w:rPr>
          <w:szCs w:val="21"/>
        </w:rPr>
      </w:pPr>
      <w:r>
        <w:rPr>
          <w:szCs w:val="21"/>
        </w:rPr>
        <w:t>图5.5.4 高延性混凝土-砌体组合圈梁及组合构造柱做法示意图</w:t>
      </w:r>
    </w:p>
    <w:p w14:paraId="528180A6">
      <w:pPr>
        <w:pStyle w:val="55"/>
        <w:spacing w:before="31" w:after="31"/>
        <w:rPr>
          <w:szCs w:val="21"/>
        </w:rPr>
      </w:pPr>
      <w:r>
        <w:rPr>
          <w:szCs w:val="21"/>
        </w:rPr>
        <w:t>1</w:t>
      </w:r>
      <w:r>
        <w:rPr>
          <w:rFonts w:hint="eastAsia"/>
          <w:szCs w:val="21"/>
        </w:rPr>
        <w:t>-</w:t>
      </w:r>
      <w:r>
        <w:rPr>
          <w:szCs w:val="21"/>
        </w:rPr>
        <w:t>高延性混凝土；2</w:t>
      </w:r>
      <w:r>
        <w:rPr>
          <w:rFonts w:hint="eastAsia"/>
          <w:szCs w:val="21"/>
        </w:rPr>
        <w:t>-</w:t>
      </w:r>
      <w:r>
        <w:rPr>
          <w:szCs w:val="21"/>
        </w:rPr>
        <w:t>组合圈梁纵筋；3</w:t>
      </w:r>
      <w:r>
        <w:rPr>
          <w:rFonts w:hint="eastAsia"/>
          <w:szCs w:val="21"/>
        </w:rPr>
        <w:t>-</w:t>
      </w:r>
      <w:r>
        <w:rPr>
          <w:szCs w:val="21"/>
        </w:rPr>
        <w:t>双面搭接焊；4</w:t>
      </w:r>
      <w:r>
        <w:rPr>
          <w:rFonts w:hint="eastAsia"/>
          <w:szCs w:val="21"/>
        </w:rPr>
        <w:t>-</w:t>
      </w:r>
      <w:r>
        <w:rPr>
          <w:szCs w:val="21"/>
        </w:rPr>
        <w:t>组合圈梁闭合箍筋；5</w:t>
      </w:r>
      <w:r>
        <w:rPr>
          <w:rFonts w:hint="eastAsia"/>
          <w:szCs w:val="21"/>
        </w:rPr>
        <w:t>-</w:t>
      </w:r>
      <w:r>
        <w:rPr>
          <w:szCs w:val="21"/>
        </w:rPr>
        <w:t>组合构造柱纵筋；6</w:t>
      </w:r>
      <w:r>
        <w:rPr>
          <w:rFonts w:hint="eastAsia"/>
          <w:szCs w:val="21"/>
        </w:rPr>
        <w:t>-</w:t>
      </w:r>
      <w:r>
        <w:rPr>
          <w:szCs w:val="21"/>
        </w:rPr>
        <w:t>组合构造柱闭合箍筋</w:t>
      </w:r>
    </w:p>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14:paraId="4D31538B">
      <w:pPr>
        <w:spacing w:after="156" w:line="450" w:lineRule="exact"/>
        <w:ind w:firstLine="420"/>
        <w:jc w:val="center"/>
      </w:pPr>
      <w:r>
        <w:br w:type="page"/>
      </w:r>
    </w:p>
    <w:p w14:paraId="541D7B0F">
      <w:pPr>
        <w:pStyle w:val="2"/>
        <w:spacing w:after="312"/>
        <w:rPr>
          <w:snapToGrid w:val="0"/>
        </w:rPr>
      </w:pPr>
      <w:bookmarkStart w:id="537" w:name="_Toc38358412"/>
      <w:bookmarkStart w:id="538" w:name="_Toc48210143"/>
      <w:bookmarkStart w:id="539" w:name="_Toc48210366"/>
      <w:bookmarkStart w:id="540" w:name="_Toc25070689"/>
      <w:bookmarkStart w:id="541" w:name="_Toc32865092"/>
      <w:bookmarkStart w:id="542" w:name="_Toc48138976"/>
      <w:bookmarkStart w:id="543" w:name="_Toc535338438"/>
      <w:bookmarkStart w:id="544" w:name="_Toc535475990"/>
      <w:bookmarkStart w:id="545" w:name="_Toc25690926"/>
      <w:bookmarkStart w:id="546" w:name="_Toc48210034"/>
      <w:bookmarkStart w:id="547" w:name="_Toc532464349"/>
      <w:bookmarkStart w:id="548" w:name="_Toc48138898"/>
      <w:bookmarkStart w:id="549" w:name="_Toc32848350"/>
      <w:bookmarkStart w:id="550" w:name="_Toc519684141"/>
      <w:bookmarkStart w:id="551" w:name="_Toc19545272"/>
      <w:bookmarkStart w:id="552" w:name="_Toc38352786"/>
      <w:bookmarkStart w:id="553" w:name="_Toc63348858"/>
      <w:bookmarkStart w:id="554" w:name="_Toc67330602"/>
      <w:bookmarkStart w:id="555" w:name="_Toc63348934"/>
      <w:bookmarkStart w:id="556" w:name="_Toc54255562"/>
      <w:bookmarkStart w:id="557" w:name="_Toc52264506"/>
      <w:bookmarkStart w:id="558" w:name="_Toc54256657"/>
      <w:bookmarkStart w:id="559" w:name="_Toc11483"/>
      <w:bookmarkStart w:id="560" w:name="_Toc79615803"/>
      <w:bookmarkStart w:id="561" w:name="_Toc207111716"/>
      <w:bookmarkStart w:id="562" w:name="_Toc5009"/>
      <w:bookmarkStart w:id="563" w:name="_Toc32194"/>
      <w:bookmarkStart w:id="564" w:name="_Toc70169826"/>
      <w:bookmarkStart w:id="565" w:name="_Toc15407"/>
      <w:bookmarkStart w:id="566" w:name="_Toc27674"/>
      <w:bookmarkStart w:id="567" w:name="_Toc24664"/>
      <w:bookmarkStart w:id="568" w:name="_Toc70169746"/>
      <w:r>
        <w:rPr>
          <w:rFonts w:hint="eastAsia"/>
          <w:snapToGrid w:val="0"/>
        </w:rPr>
        <w:t>6  混凝土</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Pr>
          <w:rFonts w:hint="eastAsia"/>
          <w:snapToGrid w:val="0"/>
        </w:rPr>
        <w:t>构件</w:t>
      </w:r>
      <w:bookmarkEnd w:id="553"/>
      <w:bookmarkEnd w:id="554"/>
      <w:bookmarkEnd w:id="555"/>
      <w:bookmarkEnd w:id="556"/>
      <w:bookmarkEnd w:id="557"/>
      <w:bookmarkEnd w:id="558"/>
      <w:r>
        <w:rPr>
          <w:rFonts w:hint="eastAsia"/>
          <w:snapToGrid w:val="0"/>
        </w:rPr>
        <w:t>加固设计</w:t>
      </w:r>
      <w:bookmarkEnd w:id="559"/>
      <w:bookmarkEnd w:id="560"/>
      <w:bookmarkEnd w:id="561"/>
      <w:bookmarkEnd w:id="562"/>
      <w:bookmarkEnd w:id="563"/>
      <w:bookmarkEnd w:id="564"/>
      <w:bookmarkEnd w:id="565"/>
      <w:bookmarkEnd w:id="566"/>
      <w:bookmarkEnd w:id="567"/>
      <w:bookmarkEnd w:id="568"/>
    </w:p>
    <w:p w14:paraId="44356E6A">
      <w:pPr>
        <w:pStyle w:val="3"/>
      </w:pPr>
      <w:bookmarkStart w:id="569" w:name="_Toc25690927"/>
      <w:bookmarkStart w:id="570" w:name="_Toc535338439"/>
      <w:bookmarkStart w:id="571" w:name="_Toc207111717"/>
      <w:bookmarkStart w:id="572" w:name="_Toc38358413"/>
      <w:bookmarkStart w:id="573" w:name="_Toc79615804"/>
      <w:bookmarkStart w:id="574" w:name="_Toc48210035"/>
      <w:bookmarkStart w:id="575" w:name="_Toc63348859"/>
      <w:bookmarkStart w:id="576" w:name="_Toc32848351"/>
      <w:bookmarkStart w:id="577" w:name="_Toc67330603"/>
      <w:bookmarkStart w:id="578" w:name="_Toc48138899"/>
      <w:bookmarkStart w:id="579" w:name="_Toc25070690"/>
      <w:bookmarkStart w:id="580" w:name="_Toc18973"/>
      <w:bookmarkStart w:id="581" w:name="_Toc535475991"/>
      <w:bookmarkStart w:id="582" w:name="_Toc19545273"/>
      <w:bookmarkStart w:id="583" w:name="_Toc519684142"/>
      <w:bookmarkStart w:id="584" w:name="_Toc38352787"/>
      <w:bookmarkStart w:id="585" w:name="_Toc70169747"/>
      <w:bookmarkStart w:id="586" w:name="_Toc52264507"/>
      <w:bookmarkStart w:id="587" w:name="_Toc54256658"/>
      <w:bookmarkStart w:id="588" w:name="_Toc29303"/>
      <w:bookmarkStart w:id="589" w:name="_Toc48210367"/>
      <w:bookmarkStart w:id="590" w:name="_Toc11225"/>
      <w:bookmarkStart w:id="591" w:name="_Toc54255563"/>
      <w:bookmarkStart w:id="592" w:name="_Toc70169827"/>
      <w:bookmarkStart w:id="593" w:name="_Toc3805"/>
      <w:bookmarkStart w:id="594" w:name="_Toc48138977"/>
      <w:bookmarkStart w:id="595" w:name="_Toc31047"/>
      <w:bookmarkStart w:id="596" w:name="_Toc63348935"/>
      <w:bookmarkStart w:id="597" w:name="_Toc32865093"/>
      <w:bookmarkStart w:id="598" w:name="_Toc532464350"/>
      <w:bookmarkStart w:id="599" w:name="_Toc48210144"/>
      <w:bookmarkStart w:id="600" w:name="_Toc31983"/>
      <w:r>
        <w:rPr>
          <w:rFonts w:cs="Times New Roman"/>
        </w:rPr>
        <w:t>6.1</w:t>
      </w:r>
      <w:r>
        <w:rPr>
          <w:rFonts w:hint="eastAsia"/>
        </w:rPr>
        <w:t xml:space="preserve">  一般规定</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14:paraId="50D9A41C">
      <w:pPr>
        <w:pStyle w:val="4"/>
      </w:pPr>
      <w:r>
        <w:rPr>
          <w:b/>
          <w:bCs w:val="0"/>
        </w:rPr>
        <w:t xml:space="preserve">6.1.1 </w:t>
      </w:r>
      <w:r>
        <w:t xml:space="preserve"> </w:t>
      </w:r>
      <w:r>
        <w:rPr>
          <w:rFonts w:hint="eastAsia"/>
        </w:rPr>
        <w:t>混凝土构件加固设计包括</w:t>
      </w:r>
      <w:r>
        <w:t>钢筋混凝土剪力墙抗剪加固</w:t>
      </w:r>
      <w:r>
        <w:rPr>
          <w:rFonts w:hint="eastAsia"/>
        </w:rPr>
        <w:t>、</w:t>
      </w:r>
      <w:r>
        <w:t>钢筋混凝土梁抗剪加固</w:t>
      </w:r>
      <w:r>
        <w:rPr>
          <w:rFonts w:hint="eastAsia"/>
        </w:rPr>
        <w:t>和</w:t>
      </w:r>
      <w:r>
        <w:t>钢筋混凝土柱受压加固。</w:t>
      </w:r>
    </w:p>
    <w:p w14:paraId="27642557">
      <w:pPr>
        <w:pStyle w:val="4"/>
        <w:rPr>
          <w:lang w:val="zh-CN"/>
        </w:rPr>
      </w:pPr>
      <w:r>
        <w:rPr>
          <w:rFonts w:hint="eastAsia"/>
          <w:b/>
          <w:iCs/>
        </w:rPr>
        <w:t>6.1.2</w:t>
      </w:r>
      <w:r>
        <w:rPr>
          <w:b/>
          <w:lang w:val="zh-CN"/>
        </w:rPr>
        <w:t xml:space="preserve"> </w:t>
      </w:r>
      <w:r>
        <w:rPr>
          <w:b/>
        </w:rPr>
        <w:t xml:space="preserve"> </w:t>
      </w:r>
      <w:r>
        <w:rPr>
          <w:lang w:val="zh-CN"/>
        </w:rPr>
        <w:t>本</w:t>
      </w:r>
      <w:r>
        <w:rPr>
          <w:rFonts w:hint="eastAsia"/>
        </w:rPr>
        <w:t>章节</w:t>
      </w:r>
      <w:r>
        <w:rPr>
          <w:lang w:val="zh-CN"/>
        </w:rPr>
        <w:t>适用于下列</w:t>
      </w:r>
      <w:r>
        <w:rPr>
          <w:rFonts w:hint="eastAsia"/>
          <w:lang w:val="zh-CN"/>
        </w:rPr>
        <w:t>混凝土</w:t>
      </w:r>
      <w:r>
        <w:rPr>
          <w:lang w:val="zh-CN"/>
        </w:rPr>
        <w:t>结构</w:t>
      </w:r>
      <w:r>
        <w:rPr>
          <w:rFonts w:hint="eastAsia"/>
        </w:rPr>
        <w:t>的</w:t>
      </w:r>
      <w:r>
        <w:t>加固</w:t>
      </w:r>
      <w:r>
        <w:rPr>
          <w:lang w:val="zh-CN"/>
        </w:rPr>
        <w:t>设计：</w:t>
      </w:r>
    </w:p>
    <w:p w14:paraId="4A1C822D">
      <w:pPr>
        <w:ind w:firstLine="422"/>
        <w:rPr>
          <w:rFonts w:hint="eastAsia"/>
          <w:lang w:val="zh-CN"/>
        </w:rPr>
      </w:pPr>
      <w:r>
        <w:rPr>
          <w:rFonts w:hint="eastAsia"/>
          <w:b/>
          <w:bCs/>
          <w:lang w:val="zh-CN"/>
        </w:rPr>
        <w:t>1</w:t>
      </w:r>
      <w:r>
        <w:rPr>
          <w:rFonts w:hint="eastAsia"/>
          <w:lang w:val="zh-CN"/>
        </w:rPr>
        <w:t xml:space="preserve">  钢筋混凝土剪力墙：抗剪、抗压及抗弯加固；</w:t>
      </w:r>
    </w:p>
    <w:p w14:paraId="42BAE645">
      <w:pPr>
        <w:ind w:firstLine="422"/>
        <w:rPr>
          <w:rFonts w:hint="eastAsia"/>
          <w:lang w:val="zh-CN"/>
        </w:rPr>
      </w:pPr>
      <w:r>
        <w:rPr>
          <w:rFonts w:hint="eastAsia"/>
          <w:b/>
          <w:bCs/>
          <w:lang w:val="zh-CN"/>
        </w:rPr>
        <w:t>2</w:t>
      </w:r>
      <w:r>
        <w:rPr>
          <w:rFonts w:hint="eastAsia"/>
          <w:lang w:val="zh-CN"/>
        </w:rPr>
        <w:t xml:space="preserve">  钢筋混凝土梁：抗剪加固、抗弯加固；</w:t>
      </w:r>
    </w:p>
    <w:p w14:paraId="65C73C60">
      <w:pPr>
        <w:ind w:firstLine="422"/>
        <w:rPr>
          <w:rFonts w:hint="eastAsia"/>
        </w:rPr>
      </w:pPr>
      <w:r>
        <w:rPr>
          <w:rFonts w:hint="eastAsia"/>
          <w:b/>
          <w:bCs/>
          <w:lang w:val="zh-CN"/>
        </w:rPr>
        <w:t>3</w:t>
      </w:r>
      <w:r>
        <w:rPr>
          <w:rFonts w:hint="eastAsia"/>
          <w:lang w:val="zh-CN"/>
        </w:rPr>
        <w:t xml:space="preserve">  钢筋混凝土柱：受压加固。</w:t>
      </w:r>
    </w:p>
    <w:p w14:paraId="4879AA93">
      <w:pPr>
        <w:pStyle w:val="4"/>
      </w:pPr>
      <w:r>
        <w:rPr>
          <w:b/>
          <w:bCs w:val="0"/>
        </w:rPr>
        <w:t>6.1.</w:t>
      </w:r>
      <w:r>
        <w:rPr>
          <w:rFonts w:hint="eastAsia"/>
          <w:b/>
          <w:bCs w:val="0"/>
        </w:rPr>
        <w:t>3</w:t>
      </w:r>
      <w:r>
        <w:t xml:space="preserve">  原构件混凝土强度检测推定值不应低于13MPa，且不应高于50MPa。不得用于素混凝土构件以及纵向受力钢筋一侧配筋率小于0.2%的构件。</w:t>
      </w:r>
    </w:p>
    <w:p w14:paraId="7E91B286">
      <w:pPr>
        <w:pStyle w:val="4"/>
      </w:pPr>
      <w:r>
        <w:rPr>
          <w:b/>
          <w:bCs w:val="0"/>
        </w:rPr>
        <w:t>6.1.</w:t>
      </w:r>
      <w:r>
        <w:rPr>
          <w:rFonts w:hint="eastAsia"/>
          <w:b/>
          <w:bCs w:val="0"/>
        </w:rPr>
        <w:t>4</w:t>
      </w:r>
      <w:r>
        <w:rPr>
          <w:b/>
          <w:bCs w:val="0"/>
        </w:rPr>
        <w:t xml:space="preserve"> </w:t>
      </w:r>
      <w:r>
        <w:t xml:space="preserve"> 高延性混凝土</w:t>
      </w:r>
      <w:r>
        <w:rPr>
          <w:rFonts w:hint="eastAsia"/>
        </w:rPr>
        <w:t>类别</w:t>
      </w:r>
      <w:r>
        <w:t>不应低于II类</w:t>
      </w:r>
      <w:r>
        <w:rPr>
          <w:rFonts w:hint="eastAsia"/>
        </w:rPr>
        <w:t>；</w:t>
      </w:r>
      <w:r>
        <w:t>当用于抗震加固时</w:t>
      </w:r>
      <w:r>
        <w:rPr>
          <w:rFonts w:hint="eastAsia"/>
        </w:rPr>
        <w:t>，</w:t>
      </w:r>
      <w:r>
        <w:t>高延性混凝土</w:t>
      </w:r>
      <w:r>
        <w:rPr>
          <w:rFonts w:hint="eastAsia"/>
        </w:rPr>
        <w:t>类别</w:t>
      </w:r>
      <w:r>
        <w:t>应采用I类。</w:t>
      </w:r>
    </w:p>
    <w:p w14:paraId="367AB8D0">
      <w:pPr>
        <w:pStyle w:val="3"/>
      </w:pPr>
      <w:bookmarkStart w:id="601" w:name="_Toc48210145"/>
      <w:bookmarkStart w:id="602" w:name="_Toc79615805"/>
      <w:bookmarkStart w:id="603" w:name="_Toc63348936"/>
      <w:bookmarkStart w:id="604" w:name="_Toc52264508"/>
      <w:bookmarkStart w:id="605" w:name="_Toc63348860"/>
      <w:bookmarkStart w:id="606" w:name="_Toc54255564"/>
      <w:bookmarkStart w:id="607" w:name="_Toc17670"/>
      <w:bookmarkStart w:id="608" w:name="_Toc23107"/>
      <w:bookmarkStart w:id="609" w:name="_Toc48210036"/>
      <w:bookmarkStart w:id="610" w:name="_Toc70169828"/>
      <w:bookmarkStart w:id="611" w:name="_Toc207111718"/>
      <w:bookmarkStart w:id="612" w:name="_Toc48210368"/>
      <w:bookmarkStart w:id="613" w:name="_Toc70169748"/>
      <w:bookmarkStart w:id="614" w:name="_Toc54256659"/>
      <w:bookmarkStart w:id="615" w:name="_Toc6994"/>
      <w:bookmarkStart w:id="616" w:name="_Toc12360"/>
      <w:bookmarkStart w:id="617" w:name="_Toc18528"/>
      <w:bookmarkStart w:id="618" w:name="_Toc3829"/>
      <w:bookmarkStart w:id="619" w:name="_Toc67330604"/>
      <w:r>
        <w:rPr>
          <w:rFonts w:hint="eastAsia"/>
        </w:rPr>
        <w:t>6.2  钢筋混凝土剪力墙加固</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14:paraId="1D10E067">
      <w:pPr>
        <w:pStyle w:val="4"/>
      </w:pPr>
      <w:r>
        <w:rPr>
          <w:b/>
        </w:rPr>
        <w:t>6.2.1</w:t>
      </w:r>
      <w:r>
        <w:t xml:space="preserve">  加固偏心受压剪力墙构件时，其加固后的受剪截面应符合下列条件：</w:t>
      </w:r>
    </w:p>
    <w:p w14:paraId="2B7D84EB">
      <w:pPr>
        <w:pStyle w:val="10"/>
        <w:spacing w:after="312"/>
        <w:ind w:firstLine="480"/>
        <w:jc w:val="right"/>
        <w:rPr>
          <w:rFonts w:cs="Times New Roman"/>
          <w:sz w:val="28"/>
          <w:szCs w:val="28"/>
        </w:rPr>
      </w:pPr>
      <w:r>
        <w:rPr>
          <w:rFonts w:hint="eastAsia"/>
          <w:position w:val="-12"/>
        </w:rPr>
        <w:object>
          <v:shape id="_x0000_i1162" o:spt="75" type="#_x0000_t75" style="height:22.55pt;width:164.95pt;" o:ole="t" filled="f" o:preferrelative="t" stroked="f" coordsize="21600,21600">
            <v:path/>
            <v:fill on="f" focussize="0,0"/>
            <v:stroke on="f" joinstyle="miter"/>
            <v:imagedata r:id="rId286" o:title=""/>
            <o:lock v:ext="edit" aspectratio="t"/>
            <w10:wrap type="none"/>
            <w10:anchorlock/>
          </v:shape>
          <o:OLEObject Type="Embed" ProgID="Equation.3" ShapeID="_x0000_i1162" DrawAspect="Content" ObjectID="_1468075860" r:id="rId285">
            <o:LockedField>false</o:LockedField>
          </o:OLEObject>
        </w:object>
      </w:r>
      <w:r>
        <w:t xml:space="preserve">  </w:t>
      </w:r>
      <w:r>
        <w:rPr>
          <w:rFonts w:hint="eastAsia"/>
        </w:rPr>
        <w:t xml:space="preserve">      </w:t>
      </w:r>
      <w:r>
        <w:t xml:space="preserve">  </w:t>
      </w:r>
      <w:r>
        <w:rPr>
          <w:rFonts w:cs="Times New Roman"/>
          <w:sz w:val="28"/>
          <w:szCs w:val="28"/>
        </w:rPr>
        <w:t>（6.2.1）</w:t>
      </w:r>
    </w:p>
    <w:tbl>
      <w:tblPr>
        <w:tblStyle w:val="28"/>
        <w:tblW w:w="7920" w:type="dxa"/>
        <w:tblInd w:w="108" w:type="dxa"/>
        <w:tblLayout w:type="fixed"/>
        <w:tblCellMar>
          <w:top w:w="0" w:type="dxa"/>
          <w:left w:w="108" w:type="dxa"/>
          <w:bottom w:w="0" w:type="dxa"/>
          <w:right w:w="108" w:type="dxa"/>
        </w:tblCellMar>
      </w:tblPr>
      <w:tblGrid>
        <w:gridCol w:w="1593"/>
        <w:gridCol w:w="6327"/>
      </w:tblGrid>
      <w:tr w14:paraId="35AF278C">
        <w:tblPrEx>
          <w:tblCellMar>
            <w:top w:w="0" w:type="dxa"/>
            <w:left w:w="108" w:type="dxa"/>
            <w:bottom w:w="0" w:type="dxa"/>
            <w:right w:w="108" w:type="dxa"/>
          </w:tblCellMar>
        </w:tblPrEx>
        <w:trPr>
          <w:trHeight w:val="510" w:hRule="atLeast"/>
        </w:trPr>
        <w:tc>
          <w:tcPr>
            <w:tcW w:w="1593" w:type="dxa"/>
          </w:tcPr>
          <w:p w14:paraId="0960F960">
            <w:pPr>
              <w:pStyle w:val="55"/>
              <w:spacing w:before="31" w:after="31"/>
            </w:pPr>
            <w:r>
              <w:t>式中：</w:t>
            </w:r>
          </w:p>
        </w:tc>
        <w:tc>
          <w:tcPr>
            <w:tcW w:w="6327" w:type="dxa"/>
          </w:tcPr>
          <w:p w14:paraId="684B8EB8">
            <w:pPr>
              <w:pStyle w:val="55"/>
              <w:spacing w:before="31" w:after="31"/>
            </w:pPr>
          </w:p>
        </w:tc>
      </w:tr>
      <w:tr w14:paraId="5D9824C7">
        <w:tblPrEx>
          <w:tblCellMar>
            <w:top w:w="0" w:type="dxa"/>
            <w:left w:w="108" w:type="dxa"/>
            <w:bottom w:w="0" w:type="dxa"/>
            <w:right w:w="108" w:type="dxa"/>
          </w:tblCellMar>
        </w:tblPrEx>
        <w:trPr>
          <w:trHeight w:val="510" w:hRule="atLeast"/>
        </w:trPr>
        <w:tc>
          <w:tcPr>
            <w:tcW w:w="1593" w:type="dxa"/>
          </w:tcPr>
          <w:p w14:paraId="1B8D059F">
            <w:pPr>
              <w:pStyle w:val="55"/>
              <w:spacing w:before="31" w:after="31"/>
            </w:pPr>
            <w:r>
              <w:rPr>
                <w:i/>
              </w:rPr>
              <w:t>V</w:t>
            </w:r>
            <w:r>
              <w:t>——</w:t>
            </w:r>
          </w:p>
        </w:tc>
        <w:tc>
          <w:tcPr>
            <w:tcW w:w="6327" w:type="dxa"/>
          </w:tcPr>
          <w:p w14:paraId="0C1D5D7C">
            <w:pPr>
              <w:pStyle w:val="55"/>
              <w:spacing w:before="31" w:after="31"/>
              <w:jc w:val="left"/>
            </w:pPr>
            <w:r>
              <w:t>构件的剪力设计值；</w:t>
            </w:r>
          </w:p>
        </w:tc>
      </w:tr>
      <w:tr w14:paraId="00E4C755">
        <w:tblPrEx>
          <w:tblCellMar>
            <w:top w:w="0" w:type="dxa"/>
            <w:left w:w="108" w:type="dxa"/>
            <w:bottom w:w="0" w:type="dxa"/>
            <w:right w:w="108" w:type="dxa"/>
          </w:tblCellMar>
        </w:tblPrEx>
        <w:trPr>
          <w:trHeight w:val="510" w:hRule="atLeast"/>
        </w:trPr>
        <w:tc>
          <w:tcPr>
            <w:tcW w:w="1593" w:type="dxa"/>
          </w:tcPr>
          <w:p w14:paraId="30C7D21E">
            <w:pPr>
              <w:pStyle w:val="55"/>
              <w:spacing w:before="31" w:after="31"/>
            </w:pPr>
            <w:r>
              <w:rPr>
                <w:position w:val="-10"/>
              </w:rPr>
              <w:object>
                <v:shape id="_x0000_i1163" o:spt="75" type="#_x0000_t75" style="height:19.9pt;width:16.65pt;" o:ole="t" filled="f" o:preferrelative="t" stroked="f" coordsize="21600,21600">
                  <v:path/>
                  <v:fill on="f" focussize="0,0"/>
                  <v:stroke on="f" joinstyle="miter"/>
                  <v:imagedata r:id="rId288" o:title=""/>
                  <o:lock v:ext="edit" aspectratio="t"/>
                  <w10:wrap type="none"/>
                  <w10:anchorlock/>
                </v:shape>
                <o:OLEObject Type="Embed" ProgID="Equation.DSMT4" ShapeID="_x0000_i1163" DrawAspect="Content" ObjectID="_1468075861" r:id="rId287">
                  <o:LockedField>false</o:LockedField>
                </o:OLEObject>
              </w:object>
            </w:r>
            <w:r>
              <w:t>——</w:t>
            </w:r>
          </w:p>
        </w:tc>
        <w:tc>
          <w:tcPr>
            <w:tcW w:w="6327" w:type="dxa"/>
          </w:tcPr>
          <w:p w14:paraId="7CD48AFB">
            <w:pPr>
              <w:pStyle w:val="55"/>
              <w:spacing w:before="31" w:after="31"/>
              <w:jc w:val="left"/>
            </w:pPr>
            <w:r>
              <w:t>混凝土强度影响系数，取</w:t>
            </w:r>
            <w:r>
              <w:rPr>
                <w:position w:val="-10"/>
              </w:rPr>
              <w:object>
                <v:shape id="_x0000_i1164" o:spt="75" type="#_x0000_t75" style="height:19.9pt;width:46.75pt;" o:ole="t" filled="f" o:preferrelative="t" stroked="f" coordsize="21600,21600">
                  <v:path/>
                  <v:fill on="f" focussize="0,0"/>
                  <v:stroke on="f" joinstyle="miter"/>
                  <v:imagedata r:id="rId290" o:title=""/>
                  <o:lock v:ext="edit" aspectratio="t"/>
                  <w10:wrap type="none"/>
                  <w10:anchorlock/>
                </v:shape>
                <o:OLEObject Type="Embed" ProgID="Equation.DSMT4" ShapeID="_x0000_i1164" DrawAspect="Content" ObjectID="_1468075862" r:id="rId289">
                  <o:LockedField>false</o:LockedField>
                </o:OLEObject>
              </w:object>
            </w:r>
            <w:r>
              <w:t>；</w:t>
            </w:r>
          </w:p>
        </w:tc>
      </w:tr>
      <w:tr w14:paraId="3EA2FB62">
        <w:tblPrEx>
          <w:tblCellMar>
            <w:top w:w="0" w:type="dxa"/>
            <w:left w:w="108" w:type="dxa"/>
            <w:bottom w:w="0" w:type="dxa"/>
            <w:right w:w="108" w:type="dxa"/>
          </w:tblCellMar>
        </w:tblPrEx>
        <w:trPr>
          <w:trHeight w:val="510" w:hRule="atLeast"/>
        </w:trPr>
        <w:tc>
          <w:tcPr>
            <w:tcW w:w="1593" w:type="dxa"/>
          </w:tcPr>
          <w:p w14:paraId="63BFBD00">
            <w:pPr>
              <w:pStyle w:val="55"/>
              <w:spacing w:before="31" w:after="31"/>
            </w:pPr>
            <w:r>
              <w:rPr>
                <w:position w:val="-10"/>
              </w:rPr>
              <w:object>
                <v:shape id="_x0000_i1165" o:spt="75" type="#_x0000_t75" style="height:19.9pt;width:15.05pt;" o:ole="t" filled="f" o:preferrelative="t" stroked="f" coordsize="21600,21600">
                  <v:path/>
                  <v:fill on="f" focussize="0,0"/>
                  <v:stroke on="f" joinstyle="miter"/>
                  <v:imagedata r:id="rId292" o:title=""/>
                  <o:lock v:ext="edit" aspectratio="t"/>
                  <w10:wrap type="none"/>
                  <w10:anchorlock/>
                </v:shape>
                <o:OLEObject Type="Embed" ProgID="Equation.DSMT4" ShapeID="_x0000_i1165" DrawAspect="Content" ObjectID="_1468075863" r:id="rId291">
                  <o:LockedField>false</o:LockedField>
                </o:OLEObject>
              </w:object>
            </w:r>
            <w:r>
              <w:t>——</w:t>
            </w:r>
          </w:p>
        </w:tc>
        <w:tc>
          <w:tcPr>
            <w:tcW w:w="6327" w:type="dxa"/>
          </w:tcPr>
          <w:p w14:paraId="4DC2A0E3">
            <w:pPr>
              <w:pStyle w:val="55"/>
              <w:spacing w:before="31" w:after="31"/>
              <w:jc w:val="left"/>
            </w:pPr>
            <w:r>
              <w:t>原构件混凝土抗压强度设计值；</w:t>
            </w:r>
          </w:p>
        </w:tc>
      </w:tr>
      <w:tr w14:paraId="27B2EB38">
        <w:tblPrEx>
          <w:tblCellMar>
            <w:top w:w="0" w:type="dxa"/>
            <w:left w:w="108" w:type="dxa"/>
            <w:bottom w:w="0" w:type="dxa"/>
            <w:right w:w="108" w:type="dxa"/>
          </w:tblCellMar>
        </w:tblPrEx>
        <w:trPr>
          <w:trHeight w:val="510" w:hRule="atLeast"/>
        </w:trPr>
        <w:tc>
          <w:tcPr>
            <w:tcW w:w="1593" w:type="dxa"/>
          </w:tcPr>
          <w:p w14:paraId="0D92AD0E">
            <w:pPr>
              <w:pStyle w:val="55"/>
              <w:spacing w:before="31" w:after="31"/>
            </w:pPr>
            <w:r>
              <w:rPr>
                <w:position w:val="-6"/>
              </w:rPr>
              <w:object>
                <v:shape id="_x0000_i1166" o:spt="75" type="#_x0000_t75" style="height:16.65pt;width:12.35pt;" o:ole="t" filled="f" o:preferrelative="t" stroked="f" coordsize="21600,21600">
                  <v:path/>
                  <v:fill on="f" focussize="0,0"/>
                  <v:stroke on="f" joinstyle="miter"/>
                  <v:imagedata r:id="rId294" o:title=""/>
                  <o:lock v:ext="edit" aspectratio="t"/>
                  <w10:wrap type="none"/>
                  <w10:anchorlock/>
                </v:shape>
                <o:OLEObject Type="Embed" ProgID="Equation.DSMT4" ShapeID="_x0000_i1166" DrawAspect="Content" ObjectID="_1468075864" r:id="rId293">
                  <o:LockedField>false</o:LockedField>
                </o:OLEObject>
              </w:object>
            </w:r>
            <w:r>
              <w:t>——</w:t>
            </w:r>
          </w:p>
        </w:tc>
        <w:tc>
          <w:tcPr>
            <w:tcW w:w="6327" w:type="dxa"/>
          </w:tcPr>
          <w:p w14:paraId="4F05AC61">
            <w:pPr>
              <w:pStyle w:val="55"/>
              <w:spacing w:before="31" w:after="31"/>
              <w:jc w:val="left"/>
            </w:pPr>
            <w:r>
              <w:t>加固前剪力墙截面宽度；</w:t>
            </w:r>
          </w:p>
        </w:tc>
      </w:tr>
      <w:tr w14:paraId="3EB9F7D7">
        <w:tblPrEx>
          <w:tblCellMar>
            <w:top w:w="0" w:type="dxa"/>
            <w:left w:w="108" w:type="dxa"/>
            <w:bottom w:w="0" w:type="dxa"/>
            <w:right w:w="108" w:type="dxa"/>
          </w:tblCellMar>
        </w:tblPrEx>
        <w:trPr>
          <w:trHeight w:val="510" w:hRule="atLeast"/>
        </w:trPr>
        <w:tc>
          <w:tcPr>
            <w:tcW w:w="1593" w:type="dxa"/>
          </w:tcPr>
          <w:p w14:paraId="15F67EFD">
            <w:pPr>
              <w:pStyle w:val="55"/>
              <w:spacing w:before="31" w:after="31"/>
              <w:rPr>
                <w:kern w:val="0"/>
              </w:rPr>
            </w:pPr>
            <w:r>
              <w:rPr>
                <w:position w:val="-10"/>
              </w:rPr>
              <w:object>
                <v:shape id="_x0000_i1167" o:spt="75" type="#_x0000_t75" style="height:19.9pt;width:19.9pt;" o:ole="t" filled="f" o:preferrelative="t" stroked="f" coordsize="21600,21600">
                  <v:path/>
                  <v:fill on="f" focussize="0,0"/>
                  <v:stroke on="f" joinstyle="miter"/>
                  <v:imagedata r:id="rId59" o:title=""/>
                  <o:lock v:ext="edit" aspectratio="t"/>
                  <w10:wrap type="none"/>
                  <w10:anchorlock/>
                </v:shape>
                <o:OLEObject Type="Embed" ProgID="Equation.DSMT4" ShapeID="_x0000_i1167" DrawAspect="Content" ObjectID="_1468075865" r:id="rId295">
                  <o:LockedField>false</o:LockedField>
                </o:OLEObject>
              </w:object>
            </w:r>
            <w:r>
              <w:rPr>
                <w:kern w:val="0"/>
              </w:rPr>
              <w:t>——</w:t>
            </w:r>
          </w:p>
        </w:tc>
        <w:tc>
          <w:tcPr>
            <w:tcW w:w="6327" w:type="dxa"/>
          </w:tcPr>
          <w:p w14:paraId="2C7279DE">
            <w:pPr>
              <w:pStyle w:val="55"/>
              <w:spacing w:before="31" w:after="31"/>
              <w:jc w:val="left"/>
            </w:pPr>
            <w:r>
              <w:t>高延性混凝土轴心抗压强度设计值；</w:t>
            </w:r>
          </w:p>
        </w:tc>
      </w:tr>
      <w:tr w14:paraId="1A10AA39">
        <w:tblPrEx>
          <w:tblCellMar>
            <w:top w:w="0" w:type="dxa"/>
            <w:left w:w="108" w:type="dxa"/>
            <w:bottom w:w="0" w:type="dxa"/>
            <w:right w:w="108" w:type="dxa"/>
          </w:tblCellMar>
        </w:tblPrEx>
        <w:trPr>
          <w:trHeight w:val="510" w:hRule="atLeast"/>
        </w:trPr>
        <w:tc>
          <w:tcPr>
            <w:tcW w:w="1593" w:type="dxa"/>
          </w:tcPr>
          <w:p w14:paraId="7F65C3CD">
            <w:pPr>
              <w:pStyle w:val="55"/>
              <w:spacing w:before="31" w:after="31"/>
            </w:pPr>
            <w:r>
              <w:rPr>
                <w:position w:val="-10"/>
              </w:rPr>
              <w:object>
                <v:shape id="_x0000_i1168" o:spt="75" type="#_x0000_t75" style="height:19.9pt;width:15.05pt;" o:ole="t" filled="f" o:preferrelative="t" stroked="f" coordsize="21600,21600">
                  <v:path/>
                  <v:fill on="f" focussize="0,0"/>
                  <v:stroke on="f" joinstyle="miter"/>
                  <v:imagedata r:id="rId297" o:title=""/>
                  <o:lock v:ext="edit" aspectratio="t"/>
                  <w10:wrap type="none"/>
                  <w10:anchorlock/>
                </v:shape>
                <o:OLEObject Type="Embed" ProgID="Equation.DSMT4" ShapeID="_x0000_i1168" DrawAspect="Content" ObjectID="_1468075866" r:id="rId296">
                  <o:LockedField>false</o:LockedField>
                </o:OLEObject>
              </w:object>
            </w:r>
            <w:r>
              <w:t>——</w:t>
            </w:r>
          </w:p>
        </w:tc>
        <w:tc>
          <w:tcPr>
            <w:tcW w:w="6327" w:type="dxa"/>
          </w:tcPr>
          <w:p w14:paraId="7E15815C">
            <w:pPr>
              <w:pStyle w:val="55"/>
              <w:spacing w:before="31" w:after="31"/>
              <w:jc w:val="left"/>
            </w:pPr>
            <w:r>
              <w:t>高延性混凝土面层厚度，双面加固时取其厚度之和；</w:t>
            </w:r>
          </w:p>
        </w:tc>
      </w:tr>
      <w:tr w14:paraId="3D22F059">
        <w:tblPrEx>
          <w:tblCellMar>
            <w:top w:w="0" w:type="dxa"/>
            <w:left w:w="108" w:type="dxa"/>
            <w:bottom w:w="0" w:type="dxa"/>
            <w:right w:w="108" w:type="dxa"/>
          </w:tblCellMar>
        </w:tblPrEx>
        <w:trPr>
          <w:trHeight w:val="510" w:hRule="atLeast"/>
        </w:trPr>
        <w:tc>
          <w:tcPr>
            <w:tcW w:w="1593" w:type="dxa"/>
          </w:tcPr>
          <w:p w14:paraId="0C5F13AB">
            <w:pPr>
              <w:pStyle w:val="55"/>
              <w:spacing w:before="31" w:after="31"/>
            </w:pPr>
            <w:r>
              <w:rPr>
                <w:position w:val="-10"/>
              </w:rPr>
              <w:object>
                <v:shape id="_x0000_i1169" o:spt="75" type="#_x0000_t75" style="height:19.9pt;width:15.05pt;" o:ole="t" filled="f" o:preferrelative="t" stroked="f" coordsize="21600,21600">
                  <v:path/>
                  <v:fill on="f" focussize="0,0"/>
                  <v:stroke on="f" joinstyle="miter"/>
                  <v:imagedata r:id="rId299" o:title=""/>
                  <o:lock v:ext="edit" aspectratio="t"/>
                  <w10:wrap type="none"/>
                  <w10:anchorlock/>
                </v:shape>
                <o:OLEObject Type="Embed" ProgID="Equation.DSMT4" ShapeID="_x0000_i1169" DrawAspect="Content" ObjectID="_1468075867" r:id="rId298">
                  <o:LockedField>false</o:LockedField>
                </o:OLEObject>
              </w:object>
            </w:r>
            <w:r>
              <w:t>——</w:t>
            </w:r>
          </w:p>
        </w:tc>
        <w:tc>
          <w:tcPr>
            <w:tcW w:w="6327" w:type="dxa"/>
          </w:tcPr>
          <w:p w14:paraId="36823B1F">
            <w:pPr>
              <w:pStyle w:val="55"/>
              <w:spacing w:before="31" w:after="31"/>
              <w:jc w:val="left"/>
            </w:pPr>
            <w:r>
              <w:t>加固后剪力墙截面有效高度；</w:t>
            </w:r>
          </w:p>
        </w:tc>
      </w:tr>
    </w:tbl>
    <w:p w14:paraId="006B693E">
      <w:pPr>
        <w:pStyle w:val="4"/>
      </w:pPr>
      <w:r>
        <w:rPr>
          <w:b/>
        </w:rPr>
        <w:t>6.2.2</w:t>
      </w:r>
      <w:r>
        <w:t xml:space="preserve">  加固偏心受压的剪力墙构件时，其斜截面受剪承载力应按下列公式验算：</w:t>
      </w:r>
    </w:p>
    <w:p w14:paraId="33B11A02">
      <w:pPr>
        <w:tabs>
          <w:tab w:val="left" w:pos="2565"/>
        </w:tabs>
        <w:wordWrap w:val="0"/>
        <w:spacing w:after="312" w:line="312" w:lineRule="auto"/>
        <w:ind w:firstLine="420"/>
        <w:jc w:val="right"/>
      </w:pPr>
      <w:r>
        <w:rPr>
          <w:position w:val="-12"/>
        </w:rPr>
        <w:object>
          <v:shape id="_x0000_i1170" o:spt="75" type="#_x0000_t75" style="height:22.55pt;width:72pt;" o:ole="t" filled="f" o:preferrelative="t" stroked="f" coordsize="21600,21600">
            <v:path/>
            <v:fill on="f" focussize="0,0"/>
            <v:stroke on="f" joinstyle="miter"/>
            <v:imagedata r:id="rId301" o:title=""/>
            <o:lock v:ext="edit" aspectratio="t"/>
            <w10:wrap type="none"/>
            <w10:anchorlock/>
          </v:shape>
          <o:OLEObject Type="Embed" ProgID="Equation.3" ShapeID="_x0000_i1170" DrawAspect="Content" ObjectID="_1468075868" r:id="rId300">
            <o:LockedField>false</o:LockedField>
          </o:OLEObject>
        </w:object>
      </w:r>
      <w:r>
        <w:rPr>
          <w:position w:val="-30"/>
        </w:rPr>
        <w:t xml:space="preserve"> </w:t>
      </w:r>
      <w:r>
        <w:t xml:space="preserve">   </w:t>
      </w:r>
      <w:r>
        <w:rPr>
          <w:rFonts w:hint="eastAsia"/>
        </w:rPr>
        <w:t xml:space="preserve">          </w:t>
      </w:r>
      <w:r>
        <w:t xml:space="preserve">   </w:t>
      </w:r>
      <w:r>
        <w:rPr>
          <w:rFonts w:cs="Times New Roman"/>
          <w:sz w:val="28"/>
          <w:szCs w:val="28"/>
        </w:rPr>
        <w:t>（6.2.2）</w:t>
      </w:r>
    </w:p>
    <w:tbl>
      <w:tblPr>
        <w:tblStyle w:val="28"/>
        <w:tblW w:w="7920" w:type="dxa"/>
        <w:tblInd w:w="111" w:type="dxa"/>
        <w:tblLayout w:type="fixed"/>
        <w:tblCellMar>
          <w:top w:w="0" w:type="dxa"/>
          <w:left w:w="108" w:type="dxa"/>
          <w:bottom w:w="0" w:type="dxa"/>
          <w:right w:w="108" w:type="dxa"/>
        </w:tblCellMar>
      </w:tblPr>
      <w:tblGrid>
        <w:gridCol w:w="1474"/>
        <w:gridCol w:w="6446"/>
      </w:tblGrid>
      <w:tr w14:paraId="0AEE8E6C">
        <w:tblPrEx>
          <w:tblCellMar>
            <w:top w:w="0" w:type="dxa"/>
            <w:left w:w="108" w:type="dxa"/>
            <w:bottom w:w="0" w:type="dxa"/>
            <w:right w:w="108" w:type="dxa"/>
          </w:tblCellMar>
        </w:tblPrEx>
        <w:trPr>
          <w:trHeight w:val="340" w:hRule="atLeast"/>
        </w:trPr>
        <w:tc>
          <w:tcPr>
            <w:tcW w:w="1474" w:type="dxa"/>
          </w:tcPr>
          <w:p w14:paraId="2C3F9832">
            <w:pPr>
              <w:pStyle w:val="55"/>
              <w:spacing w:before="31" w:after="31"/>
            </w:pPr>
            <w:r>
              <w:t>式中：</w:t>
            </w:r>
          </w:p>
        </w:tc>
        <w:tc>
          <w:tcPr>
            <w:tcW w:w="6446" w:type="dxa"/>
            <w:vAlign w:val="center"/>
          </w:tcPr>
          <w:p w14:paraId="1EBE7080">
            <w:pPr>
              <w:pStyle w:val="55"/>
              <w:spacing w:before="31" w:after="31"/>
            </w:pPr>
          </w:p>
        </w:tc>
      </w:tr>
      <w:tr w14:paraId="1B4683E4">
        <w:trPr>
          <w:trHeight w:val="340" w:hRule="atLeast"/>
        </w:trPr>
        <w:tc>
          <w:tcPr>
            <w:tcW w:w="1474" w:type="dxa"/>
          </w:tcPr>
          <w:p w14:paraId="7CDA6BA2">
            <w:pPr>
              <w:pStyle w:val="55"/>
              <w:spacing w:before="31" w:after="31"/>
            </w:pPr>
            <w:r>
              <w:rPr>
                <w:i/>
              </w:rPr>
              <w:t xml:space="preserve">V </w:t>
            </w:r>
            <w:r>
              <w:t>——</w:t>
            </w:r>
          </w:p>
        </w:tc>
        <w:tc>
          <w:tcPr>
            <w:tcW w:w="6446" w:type="dxa"/>
            <w:vAlign w:val="center"/>
          </w:tcPr>
          <w:p w14:paraId="6260165B">
            <w:pPr>
              <w:pStyle w:val="55"/>
              <w:spacing w:before="31" w:after="31"/>
              <w:jc w:val="left"/>
            </w:pPr>
            <w:r>
              <w:t>墙体剪力设计值；</w:t>
            </w:r>
          </w:p>
        </w:tc>
      </w:tr>
      <w:tr w14:paraId="0DE8EA81">
        <w:tblPrEx>
          <w:tblCellMar>
            <w:top w:w="0" w:type="dxa"/>
            <w:left w:w="108" w:type="dxa"/>
            <w:bottom w:w="0" w:type="dxa"/>
            <w:right w:w="108" w:type="dxa"/>
          </w:tblCellMar>
        </w:tblPrEx>
        <w:trPr>
          <w:trHeight w:val="340" w:hRule="atLeast"/>
        </w:trPr>
        <w:tc>
          <w:tcPr>
            <w:tcW w:w="1474" w:type="dxa"/>
          </w:tcPr>
          <w:p w14:paraId="7B3E8BB4">
            <w:pPr>
              <w:pStyle w:val="55"/>
              <w:spacing w:before="31" w:after="31"/>
            </w:pPr>
            <w:r>
              <w:rPr>
                <w:position w:val="-10"/>
              </w:rPr>
              <w:object>
                <v:shape id="_x0000_i1171" o:spt="75" type="#_x0000_t75" style="height:19.9pt;width:19.9pt;" o:ole="t" filled="f" o:preferrelative="t" stroked="f" coordsize="21600,21600">
                  <v:path/>
                  <v:fill on="f" focussize="0,0"/>
                  <v:stroke on="f" joinstyle="miter"/>
                  <v:imagedata r:id="rId155" o:title=""/>
                  <o:lock v:ext="edit" aspectratio="t"/>
                  <w10:wrap type="none"/>
                  <w10:anchorlock/>
                </v:shape>
                <o:OLEObject Type="Embed" ProgID="Equation.DSMT4" ShapeID="_x0000_i1171" DrawAspect="Content" ObjectID="_1468075869" r:id="rId302">
                  <o:LockedField>false</o:LockedField>
                </o:OLEObject>
              </w:object>
            </w:r>
            <w:r>
              <w:t>——</w:t>
            </w:r>
          </w:p>
        </w:tc>
        <w:tc>
          <w:tcPr>
            <w:tcW w:w="6446" w:type="dxa"/>
          </w:tcPr>
          <w:p w14:paraId="29827C57">
            <w:pPr>
              <w:pStyle w:val="55"/>
              <w:spacing w:before="31" w:after="31"/>
              <w:jc w:val="left"/>
            </w:pPr>
            <w:r>
              <w:t>原剪力墙斜截面受剪承载力，按现行国家标准《混凝土结构设计规范》GB 50010计算；</w:t>
            </w:r>
          </w:p>
        </w:tc>
      </w:tr>
      <w:tr w14:paraId="70144B71">
        <w:tblPrEx>
          <w:tblCellMar>
            <w:top w:w="0" w:type="dxa"/>
            <w:left w:w="108" w:type="dxa"/>
            <w:bottom w:w="0" w:type="dxa"/>
            <w:right w:w="108" w:type="dxa"/>
          </w:tblCellMar>
        </w:tblPrEx>
        <w:trPr>
          <w:trHeight w:val="340" w:hRule="atLeast"/>
        </w:trPr>
        <w:tc>
          <w:tcPr>
            <w:tcW w:w="1474" w:type="dxa"/>
          </w:tcPr>
          <w:p w14:paraId="3B79029F">
            <w:pPr>
              <w:pStyle w:val="55"/>
              <w:spacing w:before="31" w:after="31"/>
            </w:pPr>
            <w:r>
              <w:rPr>
                <w:position w:val="-10"/>
              </w:rPr>
              <w:object>
                <v:shape id="_x0000_i1172" o:spt="75" type="#_x0000_t75" style="height:19.9pt;width:19.9pt;" o:ole="t" filled="f" o:preferrelative="t" stroked="f" coordsize="21600,21600">
                  <v:path/>
                  <v:fill on="f" focussize="0,0"/>
                  <v:stroke on="f" joinstyle="miter"/>
                  <v:imagedata r:id="rId158" o:title=""/>
                  <o:lock v:ext="edit" aspectratio="t"/>
                  <w10:wrap type="none"/>
                  <w10:anchorlock/>
                </v:shape>
                <o:OLEObject Type="Embed" ProgID="Equation.DSMT4" ShapeID="_x0000_i1172" DrawAspect="Content" ObjectID="_1468075870" r:id="rId303">
                  <o:LockedField>false</o:LockedField>
                </o:OLEObject>
              </w:object>
            </w:r>
            <w:r>
              <w:t>——</w:t>
            </w:r>
          </w:p>
        </w:tc>
        <w:tc>
          <w:tcPr>
            <w:tcW w:w="6446" w:type="dxa"/>
            <w:vAlign w:val="center"/>
          </w:tcPr>
          <w:p w14:paraId="2C666A99">
            <w:pPr>
              <w:pStyle w:val="55"/>
              <w:spacing w:before="31" w:after="31"/>
              <w:jc w:val="left"/>
            </w:pPr>
            <w:r>
              <w:t>高延性混凝土面层加固后剪力墙受剪承载力提高值，按本规程第6.2.3条计算。</w:t>
            </w:r>
          </w:p>
        </w:tc>
      </w:tr>
    </w:tbl>
    <w:p w14:paraId="559F226A">
      <w:pPr>
        <w:pStyle w:val="4"/>
      </w:pPr>
      <w:r>
        <w:rPr>
          <w:b/>
        </w:rPr>
        <w:t xml:space="preserve">6.2.3 </w:t>
      </w:r>
      <w:r>
        <w:t xml:space="preserve"> 加固后剪力墙的受剪承载力提高值</w:t>
      </w:r>
      <w:r>
        <w:object>
          <v:shape id="_x0000_i1173" o:spt="75" type="#_x0000_t75" style="height:19.35pt;width:19.35pt;" o:ole="t" filled="f" o:preferrelative="t" stroked="f" coordsize="21600,21600">
            <v:path/>
            <v:fill on="f" focussize="0,0"/>
            <v:stroke on="f" joinstyle="miter"/>
            <v:imagedata r:id="rId158" o:title=""/>
            <o:lock v:ext="edit" aspectratio="t"/>
            <w10:wrap type="none"/>
            <w10:anchorlock/>
          </v:shape>
          <o:OLEObject Type="Embed" ProgID="Equation.DSMT4" ShapeID="_x0000_i1173" DrawAspect="Content" ObjectID="_1468075871" r:id="rId304">
            <o:LockedField>false</o:LockedField>
          </o:OLEObject>
        </w:object>
      </w:r>
      <w:r>
        <w:t xml:space="preserve">应按下列公式计算： </w:t>
      </w:r>
    </w:p>
    <w:p w14:paraId="54F819CB">
      <w:pPr>
        <w:tabs>
          <w:tab w:val="left" w:pos="2565"/>
        </w:tabs>
        <w:wordWrap w:val="0"/>
        <w:spacing w:after="312" w:line="312" w:lineRule="auto"/>
        <w:ind w:firstLine="420"/>
        <w:jc w:val="right"/>
      </w:pPr>
      <w:r>
        <w:rPr>
          <w:position w:val="-10"/>
        </w:rPr>
        <w:object>
          <v:shape id="_x0000_i1174" o:spt="75" type="#_x0000_t75" style="height:23.65pt;width:148.85pt;" o:ole="t" filled="f" o:preferrelative="t" stroked="f" coordsize="21600,21600">
            <v:path/>
            <v:fill on="f" focussize="0,0"/>
            <v:stroke on="f" joinstyle="miter"/>
            <v:imagedata r:id="rId306" o:title=""/>
            <o:lock v:ext="edit" aspectratio="t"/>
            <w10:wrap type="none"/>
            <w10:anchorlock/>
          </v:shape>
          <o:OLEObject Type="Embed" ProgID="Equation.DSMT4" ShapeID="_x0000_i1174" DrawAspect="Content" ObjectID="_1468075872" r:id="rId305">
            <o:LockedField>false</o:LockedField>
          </o:OLEObject>
        </w:object>
      </w:r>
      <w:r>
        <w:t xml:space="preserve">   </w:t>
      </w:r>
      <w:r>
        <w:rPr>
          <w:rFonts w:hint="eastAsia"/>
        </w:rPr>
        <w:t xml:space="preserve">       </w:t>
      </w:r>
      <w:r>
        <w:t xml:space="preserve">   </w:t>
      </w:r>
      <w:r>
        <w:rPr>
          <w:rFonts w:cs="Times New Roman"/>
          <w:sz w:val="28"/>
          <w:szCs w:val="28"/>
        </w:rPr>
        <w:t>（6.2.3-1）</w:t>
      </w:r>
    </w:p>
    <w:p w14:paraId="4D02600E">
      <w:pPr>
        <w:tabs>
          <w:tab w:val="left" w:pos="2565"/>
        </w:tabs>
        <w:wordWrap w:val="0"/>
        <w:spacing w:after="312" w:line="312" w:lineRule="auto"/>
        <w:ind w:firstLine="420"/>
        <w:jc w:val="right"/>
      </w:pPr>
      <w:r>
        <w:rPr>
          <w:position w:val="-22"/>
        </w:rPr>
        <w:object>
          <v:shape id="_x0000_i1175" o:spt="75" type="#_x0000_t75" style="height:43.5pt;width:108pt;" o:ole="t" filled="f" o:preferrelative="t" stroked="f" coordsize="21600,21600">
            <v:path/>
            <v:fill on="f" focussize="0,0"/>
            <v:stroke on="f" joinstyle="miter"/>
            <v:imagedata r:id="rId308" o:title=""/>
            <o:lock v:ext="edit" aspectratio="t"/>
            <w10:wrap type="none"/>
            <w10:anchorlock/>
          </v:shape>
          <o:OLEObject Type="Embed" ProgID="Equation.DSMT4" ShapeID="_x0000_i1175" DrawAspect="Content" ObjectID="_1468075873" r:id="rId307">
            <o:LockedField>false</o:LockedField>
          </o:OLEObject>
        </w:object>
      </w:r>
      <w:r>
        <w:t xml:space="preserve">     </w:t>
      </w:r>
      <w:r>
        <w:rPr>
          <w:rFonts w:hint="eastAsia"/>
        </w:rPr>
        <w:t xml:space="preserve">     </w:t>
      </w:r>
      <w:r>
        <w:t xml:space="preserve">       </w:t>
      </w:r>
      <w:r>
        <w:rPr>
          <w:rFonts w:cs="Times New Roman"/>
          <w:sz w:val="28"/>
          <w:szCs w:val="28"/>
        </w:rPr>
        <w:t>（6.2.3-2）</w:t>
      </w:r>
    </w:p>
    <w:tbl>
      <w:tblPr>
        <w:tblStyle w:val="28"/>
        <w:tblW w:w="7920" w:type="dxa"/>
        <w:tblInd w:w="111" w:type="dxa"/>
        <w:tblLayout w:type="fixed"/>
        <w:tblCellMar>
          <w:top w:w="0" w:type="dxa"/>
          <w:left w:w="108" w:type="dxa"/>
          <w:bottom w:w="0" w:type="dxa"/>
          <w:right w:w="108" w:type="dxa"/>
        </w:tblCellMar>
      </w:tblPr>
      <w:tblGrid>
        <w:gridCol w:w="1415"/>
        <w:gridCol w:w="59"/>
        <w:gridCol w:w="6446"/>
      </w:tblGrid>
      <w:tr w14:paraId="50630F7B">
        <w:tblPrEx>
          <w:tblCellMar>
            <w:top w:w="0" w:type="dxa"/>
            <w:left w:w="108" w:type="dxa"/>
            <w:bottom w:w="0" w:type="dxa"/>
            <w:right w:w="108" w:type="dxa"/>
          </w:tblCellMar>
        </w:tblPrEx>
        <w:trPr>
          <w:trHeight w:val="454" w:hRule="atLeast"/>
        </w:trPr>
        <w:tc>
          <w:tcPr>
            <w:tcW w:w="1474" w:type="dxa"/>
            <w:gridSpan w:val="2"/>
          </w:tcPr>
          <w:p w14:paraId="6F2BD4B8">
            <w:pPr>
              <w:pStyle w:val="55"/>
              <w:spacing w:before="31" w:after="31"/>
            </w:pPr>
            <w:r>
              <w:t>式中：</w:t>
            </w:r>
          </w:p>
        </w:tc>
        <w:tc>
          <w:tcPr>
            <w:tcW w:w="6446" w:type="dxa"/>
            <w:vAlign w:val="center"/>
          </w:tcPr>
          <w:p w14:paraId="7F8C9CAA">
            <w:pPr>
              <w:pStyle w:val="55"/>
              <w:spacing w:before="31" w:after="31"/>
            </w:pPr>
          </w:p>
        </w:tc>
      </w:tr>
      <w:tr w14:paraId="405F9677">
        <w:tblPrEx>
          <w:tblCellMar>
            <w:top w:w="0" w:type="dxa"/>
            <w:left w:w="108" w:type="dxa"/>
            <w:bottom w:w="0" w:type="dxa"/>
            <w:right w:w="108" w:type="dxa"/>
          </w:tblCellMar>
        </w:tblPrEx>
        <w:trPr>
          <w:trHeight w:val="454" w:hRule="atLeast"/>
        </w:trPr>
        <w:tc>
          <w:tcPr>
            <w:tcW w:w="1474" w:type="dxa"/>
            <w:gridSpan w:val="2"/>
          </w:tcPr>
          <w:p w14:paraId="0355C6EA">
            <w:pPr>
              <w:pStyle w:val="55"/>
              <w:spacing w:before="31" w:after="31"/>
              <w:jc w:val="right"/>
            </w:pPr>
            <w:r>
              <w:t>0.66——</w:t>
            </w:r>
          </w:p>
        </w:tc>
        <w:tc>
          <w:tcPr>
            <w:tcW w:w="6446" w:type="dxa"/>
            <w:vAlign w:val="center"/>
          </w:tcPr>
          <w:p w14:paraId="0CBCC1B3">
            <w:pPr>
              <w:pStyle w:val="55"/>
              <w:spacing w:before="31" w:after="31"/>
              <w:jc w:val="left"/>
            </w:pPr>
            <w:r>
              <w:t>高延性混凝土面层的受剪承载力系数；</w:t>
            </w:r>
          </w:p>
        </w:tc>
      </w:tr>
      <w:tr w14:paraId="613CB1D6">
        <w:tblPrEx>
          <w:tblCellMar>
            <w:top w:w="0" w:type="dxa"/>
            <w:left w:w="108" w:type="dxa"/>
            <w:bottom w:w="0" w:type="dxa"/>
            <w:right w:w="108" w:type="dxa"/>
          </w:tblCellMar>
        </w:tblPrEx>
        <w:trPr>
          <w:trHeight w:val="454" w:hRule="atLeast"/>
        </w:trPr>
        <w:tc>
          <w:tcPr>
            <w:tcW w:w="1474" w:type="dxa"/>
            <w:gridSpan w:val="2"/>
          </w:tcPr>
          <w:p w14:paraId="2E1C340A">
            <w:pPr>
              <w:pStyle w:val="55"/>
              <w:spacing w:before="31" w:after="31"/>
              <w:jc w:val="right"/>
            </w:pPr>
            <w:r>
              <w:rPr>
                <w:position w:val="-10"/>
              </w:rPr>
              <w:object>
                <v:shape id="_x0000_i1176" o:spt="75" type="#_x0000_t75" style="height:19.9pt;width:19.9pt;" o:ole="t" filled="f" o:preferrelative="t" stroked="f" coordsize="21600,21600">
                  <v:path/>
                  <v:fill on="f" focussize="0,0"/>
                  <v:stroke on="f" joinstyle="miter"/>
                  <v:imagedata r:id="rId310" o:title=""/>
                  <o:lock v:ext="edit" aspectratio="t"/>
                  <w10:wrap type="none"/>
                  <w10:anchorlock/>
                </v:shape>
                <o:OLEObject Type="Embed" ProgID="Equation.DSMT4" ShapeID="_x0000_i1176" DrawAspect="Content" ObjectID="_1468075874" r:id="rId309">
                  <o:LockedField>false</o:LockedField>
                </o:OLEObject>
              </w:object>
            </w:r>
            <w:r>
              <w:t>——</w:t>
            </w:r>
          </w:p>
        </w:tc>
        <w:tc>
          <w:tcPr>
            <w:tcW w:w="6446" w:type="dxa"/>
            <w:vAlign w:val="center"/>
          </w:tcPr>
          <w:p w14:paraId="0B053130">
            <w:pPr>
              <w:pStyle w:val="55"/>
              <w:spacing w:before="31" w:after="31"/>
              <w:jc w:val="left"/>
            </w:pPr>
            <w:r>
              <w:t>高延性混凝土面层的强度利用系数，加固剪力墙时，可取</w:t>
            </w:r>
            <w:r>
              <w:rPr>
                <w:position w:val="-10"/>
              </w:rPr>
              <w:object>
                <v:shape id="_x0000_i1177" o:spt="75" type="#_x0000_t75" style="height:19.9pt;width:52.1pt;" o:ole="t" filled="f" o:preferrelative="t" stroked="f" coordsize="21600,21600">
                  <v:path/>
                  <v:fill on="f" focussize="0,0"/>
                  <v:stroke on="f" joinstyle="miter"/>
                  <v:imagedata r:id="rId312" o:title=""/>
                  <o:lock v:ext="edit" aspectratio="t"/>
                  <w10:wrap type="none"/>
                  <w10:anchorlock/>
                </v:shape>
                <o:OLEObject Type="Embed" ProgID="Equation.DSMT4" ShapeID="_x0000_i1177" DrawAspect="Content" ObjectID="_1468075875" r:id="rId311">
                  <o:LockedField>false</o:LockedField>
                </o:OLEObject>
              </w:object>
            </w:r>
            <w:r>
              <w:t xml:space="preserve">； </w:t>
            </w:r>
          </w:p>
        </w:tc>
      </w:tr>
      <w:tr w14:paraId="3FED34F8">
        <w:tblPrEx>
          <w:tblCellMar>
            <w:top w:w="0" w:type="dxa"/>
            <w:left w:w="108" w:type="dxa"/>
            <w:bottom w:w="0" w:type="dxa"/>
            <w:right w:w="108" w:type="dxa"/>
          </w:tblCellMar>
        </w:tblPrEx>
        <w:trPr>
          <w:trHeight w:val="454" w:hRule="atLeast"/>
        </w:trPr>
        <w:tc>
          <w:tcPr>
            <w:tcW w:w="1474" w:type="dxa"/>
            <w:gridSpan w:val="2"/>
          </w:tcPr>
          <w:p w14:paraId="707F4FCE">
            <w:pPr>
              <w:pStyle w:val="55"/>
              <w:spacing w:before="31" w:after="31"/>
              <w:jc w:val="right"/>
            </w:pPr>
            <w:r>
              <w:rPr>
                <w:i/>
                <w:position w:val="-10"/>
              </w:rPr>
              <w:object>
                <v:shape id="_x0000_i1178" o:spt="75" type="#_x0000_t75" style="height:19.9pt;width:19.9pt;" o:ole="t" filled="f" o:preferrelative="t" stroked="f" coordsize="21600,21600">
                  <v:path/>
                  <v:fill on="f" focussize="0,0"/>
                  <v:stroke on="f" joinstyle="miter"/>
                  <v:imagedata r:id="rId164" o:title=""/>
                  <o:lock v:ext="edit" aspectratio="t"/>
                  <w10:wrap type="none"/>
                  <w10:anchorlock/>
                </v:shape>
                <o:OLEObject Type="Embed" ProgID="Equation.DSMT4" ShapeID="_x0000_i1178" DrawAspect="Content" ObjectID="_1468075876" r:id="rId313">
                  <o:LockedField>false</o:LockedField>
                </o:OLEObject>
              </w:object>
            </w:r>
            <w:r>
              <w:t>——</w:t>
            </w:r>
          </w:p>
        </w:tc>
        <w:tc>
          <w:tcPr>
            <w:tcW w:w="6446" w:type="dxa"/>
          </w:tcPr>
          <w:p w14:paraId="5F2595B5">
            <w:pPr>
              <w:pStyle w:val="55"/>
              <w:spacing w:before="31" w:after="31"/>
              <w:jc w:val="left"/>
            </w:pPr>
            <w:r>
              <w:t>高延性混凝土轴心抗拉强度设计值；</w:t>
            </w:r>
            <w:r>
              <w:rPr>
                <w:i/>
                <w:position w:val="-10"/>
              </w:rPr>
              <w:object>
                <v:shape id="_x0000_i1179" o:spt="75" type="#_x0000_t75" style="height:19.9pt;width:19.9pt;" o:ole="t" filled="f" o:preferrelative="t" stroked="f" coordsize="21600,21600">
                  <v:path/>
                  <v:fill on="f" focussize="0,0"/>
                  <v:stroke on="f" joinstyle="miter"/>
                  <v:imagedata r:id="rId164" o:title=""/>
                  <o:lock v:ext="edit" aspectratio="t"/>
                  <w10:wrap type="none"/>
                  <w10:anchorlock/>
                </v:shape>
                <o:OLEObject Type="Embed" ProgID="Equation.DSMT4" ShapeID="_x0000_i1179" DrawAspect="Content" ObjectID="_1468075877" r:id="rId314">
                  <o:LockedField>false</o:LockedField>
                </o:OLEObject>
              </w:object>
            </w:r>
            <w:r>
              <w:t>按本规程4.3.3条规定取值；当有可靠试验资料时，取值可根据试验结果确定；</w:t>
            </w:r>
          </w:p>
        </w:tc>
      </w:tr>
      <w:tr w14:paraId="66CBC7F1">
        <w:tblPrEx>
          <w:tblCellMar>
            <w:top w:w="0" w:type="dxa"/>
            <w:left w:w="108" w:type="dxa"/>
            <w:bottom w:w="0" w:type="dxa"/>
            <w:right w:w="108" w:type="dxa"/>
          </w:tblCellMar>
        </w:tblPrEx>
        <w:trPr>
          <w:trHeight w:val="454" w:hRule="atLeast"/>
        </w:trPr>
        <w:tc>
          <w:tcPr>
            <w:tcW w:w="1474" w:type="dxa"/>
            <w:gridSpan w:val="2"/>
          </w:tcPr>
          <w:p w14:paraId="0A15DD5F">
            <w:pPr>
              <w:pStyle w:val="55"/>
              <w:spacing w:before="31" w:after="31"/>
              <w:jc w:val="right"/>
            </w:pPr>
            <w:r>
              <w:rPr>
                <w:position w:val="-10"/>
              </w:rPr>
              <w:object>
                <v:shape id="_x0000_i1180" o:spt="75" type="#_x0000_t75" style="height:19.9pt;width:15.05pt;" o:ole="t" filled="f" o:preferrelative="t" stroked="f" coordsize="21600,21600">
                  <v:path/>
                  <v:fill on="f" focussize="0,0"/>
                  <v:stroke on="f" joinstyle="miter"/>
                  <v:imagedata r:id="rId297" o:title=""/>
                  <o:lock v:ext="edit" aspectratio="t"/>
                  <w10:wrap type="none"/>
                  <w10:anchorlock/>
                </v:shape>
                <o:OLEObject Type="Embed" ProgID="Equation.DSMT4" ShapeID="_x0000_i1180" DrawAspect="Content" ObjectID="_1468075878" r:id="rId315">
                  <o:LockedField>false</o:LockedField>
                </o:OLEObject>
              </w:object>
            </w:r>
            <w:r>
              <w:t>——</w:t>
            </w:r>
          </w:p>
        </w:tc>
        <w:tc>
          <w:tcPr>
            <w:tcW w:w="6446" w:type="dxa"/>
            <w:vAlign w:val="center"/>
          </w:tcPr>
          <w:p w14:paraId="03DA3FBC">
            <w:pPr>
              <w:pStyle w:val="55"/>
              <w:spacing w:before="31" w:after="31"/>
              <w:jc w:val="left"/>
            </w:pPr>
            <w:r>
              <w:t>高延性混凝土面层厚度，双面加固时取其厚度之和；</w:t>
            </w:r>
          </w:p>
        </w:tc>
      </w:tr>
      <w:tr w14:paraId="3D165775">
        <w:tblPrEx>
          <w:tblCellMar>
            <w:top w:w="0" w:type="dxa"/>
            <w:left w:w="108" w:type="dxa"/>
            <w:bottom w:w="0" w:type="dxa"/>
            <w:right w:w="108" w:type="dxa"/>
          </w:tblCellMar>
        </w:tblPrEx>
        <w:trPr>
          <w:trHeight w:val="454" w:hRule="atLeast"/>
        </w:trPr>
        <w:tc>
          <w:tcPr>
            <w:tcW w:w="1474" w:type="dxa"/>
            <w:gridSpan w:val="2"/>
          </w:tcPr>
          <w:p w14:paraId="32C24EAE">
            <w:pPr>
              <w:pStyle w:val="55"/>
              <w:spacing w:before="31" w:after="31"/>
              <w:jc w:val="right"/>
            </w:pPr>
            <w:r>
              <w:rPr>
                <w:i/>
                <w:position w:val="-10"/>
              </w:rPr>
              <w:object>
                <v:shape id="_x0000_i1181" o:spt="75" type="#_x0000_t75" style="height:19.9pt;width:19.9pt;" o:ole="t" filled="f" o:preferrelative="t" stroked="f" coordsize="21600,21600">
                  <v:path/>
                  <v:fill on="f" focussize="0,0"/>
                  <v:stroke on="f" joinstyle="miter"/>
                  <v:imagedata r:id="rId171" o:title=""/>
                  <o:lock v:ext="edit" aspectratio="t"/>
                  <w10:wrap type="none"/>
                  <w10:anchorlock/>
                </v:shape>
                <o:OLEObject Type="Embed" ProgID="Equation.DSMT4" ShapeID="_x0000_i1181" DrawAspect="Content" ObjectID="_1468075879" r:id="rId316">
                  <o:LockedField>false</o:LockedField>
                </o:OLEObject>
              </w:object>
            </w:r>
            <w:r>
              <w:t>——</w:t>
            </w:r>
          </w:p>
        </w:tc>
        <w:tc>
          <w:tcPr>
            <w:tcW w:w="6446" w:type="dxa"/>
            <w:vAlign w:val="center"/>
          </w:tcPr>
          <w:p w14:paraId="635132CA">
            <w:pPr>
              <w:pStyle w:val="55"/>
              <w:spacing w:before="31" w:after="31"/>
              <w:jc w:val="left"/>
            </w:pPr>
            <w:r>
              <w:t>剪力墙采用配筋面层加固后，水平钢筋承担的剪力；</w:t>
            </w:r>
          </w:p>
        </w:tc>
      </w:tr>
      <w:tr w14:paraId="696FB83D">
        <w:tblPrEx>
          <w:tblCellMar>
            <w:top w:w="0" w:type="dxa"/>
            <w:left w:w="108" w:type="dxa"/>
            <w:bottom w:w="0" w:type="dxa"/>
            <w:right w:w="108" w:type="dxa"/>
          </w:tblCellMar>
        </w:tblPrEx>
        <w:trPr>
          <w:trHeight w:val="454" w:hRule="atLeast"/>
        </w:trPr>
        <w:tc>
          <w:tcPr>
            <w:tcW w:w="1474" w:type="dxa"/>
            <w:gridSpan w:val="2"/>
          </w:tcPr>
          <w:p w14:paraId="1D2608CF">
            <w:pPr>
              <w:pStyle w:val="55"/>
              <w:spacing w:before="31" w:after="31"/>
              <w:jc w:val="right"/>
            </w:pPr>
            <w:r>
              <w:rPr>
                <w:position w:val="-10"/>
              </w:rPr>
              <w:object>
                <v:shape id="_x0000_i1182" o:spt="75" type="#_x0000_t75" style="height:19.9pt;width:15.05pt;" o:ole="t" filled="f" o:preferrelative="t" stroked="f" coordsize="21600,21600">
                  <v:path/>
                  <v:fill on="f" focussize="0,0"/>
                  <v:stroke on="f" joinstyle="miter"/>
                  <v:imagedata r:id="rId318" o:title=""/>
                  <o:lock v:ext="edit" aspectratio="t"/>
                  <w10:wrap type="none"/>
                  <w10:anchorlock/>
                </v:shape>
                <o:OLEObject Type="Embed" ProgID="Equation.DSMT4" ShapeID="_x0000_i1182" DrawAspect="Content" ObjectID="_1468075880" r:id="rId317">
                  <o:LockedField>false</o:LockedField>
                </o:OLEObject>
              </w:object>
            </w:r>
            <w:r>
              <w:t>——</w:t>
            </w:r>
          </w:p>
        </w:tc>
        <w:tc>
          <w:tcPr>
            <w:tcW w:w="6446" w:type="dxa"/>
            <w:vAlign w:val="center"/>
          </w:tcPr>
          <w:p w14:paraId="572CB6DA">
            <w:pPr>
              <w:pStyle w:val="55"/>
              <w:spacing w:before="31" w:after="31"/>
              <w:jc w:val="left"/>
            </w:pPr>
            <w:r>
              <w:t>新增水平钢筋的强度利用系数，可取</w:t>
            </w:r>
            <w:r>
              <w:rPr>
                <w:position w:val="-10"/>
              </w:rPr>
              <w:object>
                <v:shape id="_x0000_i1183" o:spt="75" type="#_x0000_t75" style="height:19.9pt;width:15.05pt;" o:ole="t" filled="f" o:preferrelative="t" stroked="f" coordsize="21600,21600">
                  <v:path/>
                  <v:fill on="f" focussize="0,0"/>
                  <v:stroke on="f" joinstyle="miter"/>
                  <v:imagedata r:id="rId320" o:title=""/>
                  <o:lock v:ext="edit" aspectratio="t"/>
                  <w10:wrap type="none"/>
                  <w10:anchorlock/>
                </v:shape>
                <o:OLEObject Type="Embed" ProgID="Equation.DSMT4" ShapeID="_x0000_i1183" DrawAspect="Content" ObjectID="_1468075881" r:id="rId319">
                  <o:LockedField>false</o:LockedField>
                </o:OLEObject>
              </w:object>
            </w:r>
            <w:r>
              <w:t>=0.9；</w:t>
            </w:r>
          </w:p>
        </w:tc>
      </w:tr>
      <w:tr w14:paraId="0E821C2A">
        <w:tblPrEx>
          <w:tblCellMar>
            <w:top w:w="0" w:type="dxa"/>
            <w:left w:w="108" w:type="dxa"/>
            <w:bottom w:w="0" w:type="dxa"/>
            <w:right w:w="108" w:type="dxa"/>
          </w:tblCellMar>
        </w:tblPrEx>
        <w:trPr>
          <w:trHeight w:val="454" w:hRule="atLeast"/>
        </w:trPr>
        <w:tc>
          <w:tcPr>
            <w:tcW w:w="1415" w:type="dxa"/>
          </w:tcPr>
          <w:p w14:paraId="7DFBDD57">
            <w:pPr>
              <w:pStyle w:val="55"/>
              <w:spacing w:before="31" w:after="31"/>
              <w:jc w:val="right"/>
            </w:pPr>
            <w:r>
              <w:rPr>
                <w:position w:val="-14"/>
              </w:rPr>
              <w:object>
                <v:shape id="_x0000_i1184" o:spt="75" type="#_x0000_t75" style="height:23.65pt;width:19.9pt;" o:ole="t" filled="f" o:preferrelative="t" stroked="f" coordsize="21600,21600">
                  <v:path/>
                  <v:fill on="f" focussize="0,0"/>
                  <v:stroke on="f" joinstyle="miter"/>
                  <v:imagedata r:id="rId322" o:title=""/>
                  <o:lock v:ext="edit" aspectratio="t"/>
                  <w10:wrap type="none"/>
                  <w10:anchorlock/>
                </v:shape>
                <o:OLEObject Type="Embed" ProgID="Equation.DSMT4" ShapeID="_x0000_i1184" DrawAspect="Content" ObjectID="_1468075882" r:id="rId321">
                  <o:LockedField>false</o:LockedField>
                </o:OLEObject>
              </w:object>
            </w:r>
            <w:r>
              <w:t>——</w:t>
            </w:r>
          </w:p>
        </w:tc>
        <w:tc>
          <w:tcPr>
            <w:tcW w:w="6505" w:type="dxa"/>
            <w:gridSpan w:val="2"/>
            <w:vAlign w:val="center"/>
          </w:tcPr>
          <w:p w14:paraId="42674300">
            <w:pPr>
              <w:pStyle w:val="55"/>
              <w:spacing w:before="31" w:after="31"/>
              <w:jc w:val="left"/>
            </w:pPr>
            <w:r>
              <w:t>水平方向钢筋的强度设计值；</w:t>
            </w:r>
          </w:p>
        </w:tc>
      </w:tr>
      <w:tr w14:paraId="1BCEAFD7">
        <w:tblPrEx>
          <w:tblCellMar>
            <w:top w:w="0" w:type="dxa"/>
            <w:left w:w="108" w:type="dxa"/>
            <w:bottom w:w="0" w:type="dxa"/>
            <w:right w:w="108" w:type="dxa"/>
          </w:tblCellMar>
        </w:tblPrEx>
        <w:trPr>
          <w:trHeight w:val="454" w:hRule="atLeast"/>
        </w:trPr>
        <w:tc>
          <w:tcPr>
            <w:tcW w:w="1415" w:type="dxa"/>
          </w:tcPr>
          <w:p w14:paraId="307F1D79">
            <w:pPr>
              <w:pStyle w:val="55"/>
              <w:spacing w:before="31" w:after="31"/>
              <w:jc w:val="right"/>
            </w:pPr>
            <w:r>
              <w:rPr>
                <w:i/>
                <w:position w:val="-10"/>
              </w:rPr>
              <w:object>
                <v:shape id="_x0000_i1185" o:spt="75" type="#_x0000_t75" style="height:19.9pt;width:19.9pt;" o:ole="t" filled="f" o:preferrelative="t" stroked="f" coordsize="21600,21600">
                  <v:path/>
                  <v:fill on="f" focussize="0,0"/>
                  <v:stroke on="f" joinstyle="miter"/>
                  <v:imagedata r:id="rId179" o:title=""/>
                  <o:lock v:ext="edit" aspectratio="t"/>
                  <w10:wrap type="none"/>
                  <w10:anchorlock/>
                </v:shape>
                <o:OLEObject Type="Embed" ProgID="Equation.DSMT4" ShapeID="_x0000_i1185" DrawAspect="Content" ObjectID="_1468075883" r:id="rId323">
                  <o:LockedField>false</o:LockedField>
                </o:OLEObject>
              </w:object>
            </w:r>
            <w:r>
              <w:t>——</w:t>
            </w:r>
          </w:p>
        </w:tc>
        <w:tc>
          <w:tcPr>
            <w:tcW w:w="6505" w:type="dxa"/>
            <w:gridSpan w:val="2"/>
            <w:vAlign w:val="center"/>
          </w:tcPr>
          <w:p w14:paraId="179A76DD">
            <w:pPr>
              <w:pStyle w:val="55"/>
              <w:spacing w:before="31" w:after="31"/>
              <w:jc w:val="left"/>
            </w:pPr>
            <w:r>
              <w:rPr>
                <w:kern w:val="0"/>
              </w:rPr>
              <w:t>配置在同一截面内的水平分布钢筋全部截面面积；</w:t>
            </w:r>
          </w:p>
        </w:tc>
      </w:tr>
      <w:tr w14:paraId="5F8C529C">
        <w:tblPrEx>
          <w:tblCellMar>
            <w:top w:w="0" w:type="dxa"/>
            <w:left w:w="108" w:type="dxa"/>
            <w:bottom w:w="0" w:type="dxa"/>
            <w:right w:w="108" w:type="dxa"/>
          </w:tblCellMar>
        </w:tblPrEx>
        <w:trPr>
          <w:trHeight w:val="454" w:hRule="atLeast"/>
        </w:trPr>
        <w:tc>
          <w:tcPr>
            <w:tcW w:w="1415" w:type="dxa"/>
          </w:tcPr>
          <w:p w14:paraId="633C7D61">
            <w:pPr>
              <w:pStyle w:val="55"/>
              <w:spacing w:before="31" w:after="31"/>
              <w:jc w:val="right"/>
              <w:rPr>
                <w:i/>
              </w:rPr>
            </w:pPr>
            <w:r>
              <w:rPr>
                <w:i/>
                <w:position w:val="-6"/>
              </w:rPr>
              <w:object>
                <v:shape id="_x0000_i1186" o:spt="75" type="#_x0000_t75" style="height:13.45pt;width:13.45pt;" o:ole="t" filled="f" o:preferrelative="t" stroked="f" coordsize="21600,21600">
                  <v:path/>
                  <v:fill on="f" focussize="0,0"/>
                  <v:stroke on="f" joinstyle="miter"/>
                  <v:imagedata r:id="rId325" o:title=""/>
                  <o:lock v:ext="edit" aspectratio="t"/>
                  <w10:wrap type="none"/>
                  <w10:anchorlock/>
                </v:shape>
                <o:OLEObject Type="Embed" ProgID="Equation.DSMT4" ShapeID="_x0000_i1186" DrawAspect="Content" ObjectID="_1468075884" r:id="rId324">
                  <o:LockedField>false</o:LockedField>
                </o:OLEObject>
              </w:object>
            </w:r>
            <w:r>
              <w:t>——</w:t>
            </w:r>
          </w:p>
        </w:tc>
        <w:tc>
          <w:tcPr>
            <w:tcW w:w="6505" w:type="dxa"/>
            <w:gridSpan w:val="2"/>
            <w:vAlign w:val="center"/>
          </w:tcPr>
          <w:p w14:paraId="22A2EDDF">
            <w:pPr>
              <w:pStyle w:val="55"/>
              <w:spacing w:before="31" w:after="31"/>
              <w:jc w:val="left"/>
            </w:pPr>
            <w:r>
              <w:t>水平分布钢筋的竖向间距。</w:t>
            </w:r>
          </w:p>
        </w:tc>
      </w:tr>
    </w:tbl>
    <w:p w14:paraId="5B42D0A8">
      <w:pPr>
        <w:pStyle w:val="4"/>
      </w:pPr>
      <w:bookmarkStart w:id="620" w:name="_Toc207111719"/>
      <w:bookmarkStart w:id="621" w:name="_Toc63348861"/>
      <w:bookmarkStart w:id="622" w:name="_Toc54256660"/>
      <w:bookmarkStart w:id="623" w:name="_Toc11246"/>
      <w:bookmarkStart w:id="624" w:name="_Toc31648"/>
      <w:bookmarkStart w:id="625" w:name="_Toc63348937"/>
      <w:bookmarkStart w:id="626" w:name="_Toc67330605"/>
      <w:bookmarkStart w:id="627" w:name="_Toc54255565"/>
      <w:bookmarkStart w:id="628" w:name="_Toc30614"/>
      <w:bookmarkStart w:id="629" w:name="_Toc52264509"/>
      <w:bookmarkStart w:id="630" w:name="_Toc70169749"/>
      <w:bookmarkStart w:id="631" w:name="_Toc48210146"/>
      <w:bookmarkStart w:id="632" w:name="_Toc48210037"/>
      <w:bookmarkStart w:id="633" w:name="_Toc171"/>
      <w:bookmarkStart w:id="634" w:name="_Toc48210369"/>
      <w:bookmarkStart w:id="635" w:name="_Toc70169829"/>
      <w:bookmarkStart w:id="636" w:name="_Toc79615806"/>
      <w:bookmarkStart w:id="637" w:name="_Toc18020"/>
      <w:bookmarkStart w:id="638" w:name="_Toc26469"/>
      <w:r>
        <w:rPr>
          <w:b/>
          <w:sz w:val="24"/>
          <w:szCs w:val="24"/>
        </w:rPr>
        <w:t xml:space="preserve">6.2.4  </w:t>
      </w:r>
      <w:r>
        <w:t>采用</w:t>
      </w:r>
      <w:r>
        <w:rPr>
          <w:rFonts w:hint="eastAsia"/>
        </w:rPr>
        <w:t>高延性纤维增强水泥基复合材料</w:t>
      </w:r>
      <w:r>
        <w:t xml:space="preserve">增大截面法加固偏心受压钢筋混凝土剪力墙墙肢时，其正截面承载力应按下列公式确定： </w:t>
      </w:r>
    </w:p>
    <w:tbl>
      <w:tblPr>
        <w:tblStyle w:val="29"/>
        <w:tblW w:w="83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879"/>
        <w:gridCol w:w="1480"/>
      </w:tblGrid>
      <w:tr w14:paraId="142AF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1" w:hRule="atLeast"/>
        </w:trPr>
        <w:tc>
          <w:tcPr>
            <w:tcW w:w="6876" w:type="dxa"/>
            <w:vAlign w:val="center"/>
          </w:tcPr>
          <w:p w14:paraId="2D4B954C">
            <w:pPr>
              <w:pStyle w:val="55"/>
              <w:spacing w:before="31" w:after="31"/>
            </w:pPr>
            <w:r>
              <w:object>
                <v:shape id="_x0000_i1187" o:spt="75" type="#_x0000_t75" style="height:24.2pt;width:333.15pt;" o:ole="t" filled="f" o:preferrelative="t" stroked="f" coordsize="21600,21600">
                  <v:path/>
                  <v:fill on="f" focussize="0,0"/>
                  <v:stroke on="f" joinstyle="miter"/>
                  <v:imagedata r:id="rId327" o:title=""/>
                  <o:lock v:ext="edit" aspectratio="t"/>
                  <w10:wrap type="none"/>
                  <w10:anchorlock/>
                </v:shape>
                <o:OLEObject Type="Embed" ProgID="Equation.DSMT4" ShapeID="_x0000_i1187" DrawAspect="Content" ObjectID="_1468075885" r:id="rId326">
                  <o:LockedField>false</o:LockedField>
                </o:OLEObject>
              </w:object>
            </w:r>
          </w:p>
        </w:tc>
        <w:tc>
          <w:tcPr>
            <w:tcW w:w="1483" w:type="dxa"/>
            <w:vAlign w:val="center"/>
          </w:tcPr>
          <w:p w14:paraId="47AB5D66">
            <w:pPr>
              <w:pStyle w:val="55"/>
              <w:spacing w:before="31" w:after="31"/>
            </w:pPr>
            <w:r>
              <w:t>（6.2.4-1）</w:t>
            </w:r>
          </w:p>
        </w:tc>
      </w:tr>
      <w:tr w14:paraId="0950E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1" w:hRule="atLeast"/>
        </w:trPr>
        <w:tc>
          <w:tcPr>
            <w:tcW w:w="6876" w:type="dxa"/>
            <w:vAlign w:val="center"/>
          </w:tcPr>
          <w:p w14:paraId="4F0FD1B2">
            <w:pPr>
              <w:pStyle w:val="55"/>
              <w:spacing w:before="31" w:after="31"/>
            </w:pPr>
            <w:r>
              <w:object>
                <v:shape id="_x0000_i1188" o:spt="75" type="#_x0000_t75" style="height:77.35pt;width:289.6pt;" o:ole="t" filled="f" o:preferrelative="t" stroked="f" coordsize="21600,21600">
                  <v:path/>
                  <v:fill on="f" focussize="0,0"/>
                  <v:stroke on="f" joinstyle="miter"/>
                  <v:imagedata r:id="rId329" o:title=""/>
                  <o:lock v:ext="edit" aspectratio="t"/>
                  <w10:wrap type="none"/>
                  <w10:anchorlock/>
                </v:shape>
                <o:OLEObject Type="Embed" ProgID="Equation.DSMT4" ShapeID="_x0000_i1188" DrawAspect="Content" ObjectID="_1468075886" r:id="rId328">
                  <o:LockedField>false</o:LockedField>
                </o:OLEObject>
              </w:object>
            </w:r>
          </w:p>
        </w:tc>
        <w:tc>
          <w:tcPr>
            <w:tcW w:w="1483" w:type="dxa"/>
            <w:vAlign w:val="center"/>
          </w:tcPr>
          <w:p w14:paraId="2CEC8902">
            <w:pPr>
              <w:pStyle w:val="55"/>
              <w:spacing w:before="31" w:after="31"/>
            </w:pPr>
            <w:r>
              <w:t>（6.2.4-2</w:t>
            </w:r>
            <w:r>
              <w:rPr>
                <w:rFonts w:hint="eastAsia"/>
              </w:rPr>
              <w:t>）</w:t>
            </w:r>
          </w:p>
        </w:tc>
      </w:tr>
      <w:tr w14:paraId="26C8F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1" w:hRule="atLeast"/>
        </w:trPr>
        <w:tc>
          <w:tcPr>
            <w:tcW w:w="6876" w:type="dxa"/>
            <w:vAlign w:val="center"/>
          </w:tcPr>
          <w:p w14:paraId="7FF130C7">
            <w:pPr>
              <w:pStyle w:val="55"/>
              <w:spacing w:before="31" w:after="31"/>
            </w:pPr>
            <w:r>
              <w:object>
                <v:shape id="_x0000_i1189" o:spt="75" type="#_x0000_t75" style="height:37.6pt;width:126.25pt;" o:ole="t" filled="f" o:preferrelative="t" stroked="f" coordsize="21600,21600">
                  <v:path/>
                  <v:fill on="f" focussize="0,0"/>
                  <v:stroke on="f" joinstyle="miter"/>
                  <v:imagedata r:id="rId331" o:title=""/>
                  <o:lock v:ext="edit" aspectratio="t"/>
                  <w10:wrap type="none"/>
                  <w10:anchorlock/>
                </v:shape>
                <o:OLEObject Type="Embed" ProgID="Equation.DSMT4" ShapeID="_x0000_i1189" DrawAspect="Content" ObjectID="_1468075887" r:id="rId330">
                  <o:LockedField>false</o:LockedField>
                </o:OLEObject>
              </w:object>
            </w:r>
          </w:p>
        </w:tc>
        <w:tc>
          <w:tcPr>
            <w:tcW w:w="1483" w:type="dxa"/>
            <w:vAlign w:val="center"/>
          </w:tcPr>
          <w:p w14:paraId="62E92F50">
            <w:pPr>
              <w:pStyle w:val="55"/>
              <w:spacing w:before="31" w:after="31"/>
            </w:pPr>
            <w:r>
              <w:t>（6.2.4-3）</w:t>
            </w:r>
          </w:p>
        </w:tc>
      </w:tr>
      <w:tr w14:paraId="1459A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1" w:hRule="atLeast"/>
        </w:trPr>
        <w:tc>
          <w:tcPr>
            <w:tcW w:w="6876" w:type="dxa"/>
            <w:vAlign w:val="center"/>
          </w:tcPr>
          <w:p w14:paraId="066B8174">
            <w:pPr>
              <w:pStyle w:val="55"/>
              <w:spacing w:before="31" w:after="31"/>
            </w:pPr>
            <w:r>
              <w:object>
                <v:shape id="_x0000_i1190" o:spt="75" type="#_x0000_t75" style="height:44.6pt;width:163.35pt;" o:ole="t" filled="f" o:preferrelative="t" stroked="f" coordsize="21600,21600">
                  <v:path/>
                  <v:fill on="f" focussize="0,0"/>
                  <v:stroke on="f" joinstyle="miter"/>
                  <v:imagedata r:id="rId333" o:title=""/>
                  <o:lock v:ext="edit" aspectratio="t"/>
                  <w10:wrap type="none"/>
                  <w10:anchorlock/>
                </v:shape>
                <o:OLEObject Type="Embed" ProgID="Equation.DSMT4" ShapeID="_x0000_i1190" DrawAspect="Content" ObjectID="_1468075888" r:id="rId332">
                  <o:LockedField>false</o:LockedField>
                </o:OLEObject>
              </w:object>
            </w:r>
          </w:p>
        </w:tc>
        <w:tc>
          <w:tcPr>
            <w:tcW w:w="1483" w:type="dxa"/>
            <w:vAlign w:val="center"/>
          </w:tcPr>
          <w:p w14:paraId="6551F610">
            <w:pPr>
              <w:pStyle w:val="55"/>
              <w:spacing w:before="31" w:after="31"/>
            </w:pPr>
            <w:r>
              <w:t>（6.2.4-4）</w:t>
            </w:r>
          </w:p>
        </w:tc>
      </w:tr>
    </w:tbl>
    <w:p w14:paraId="734FBEF1">
      <w:pPr>
        <w:pStyle w:val="10"/>
        <w:ind w:firstLine="480"/>
      </w:pPr>
      <w:r>
        <w:t>式中：</w:t>
      </w:r>
    </w:p>
    <w:tbl>
      <w:tblPr>
        <w:tblStyle w:val="28"/>
        <w:tblW w:w="5000" w:type="pct"/>
        <w:tblInd w:w="0" w:type="dxa"/>
        <w:tblLayout w:type="autofit"/>
        <w:tblCellMar>
          <w:top w:w="0" w:type="dxa"/>
          <w:left w:w="108" w:type="dxa"/>
          <w:bottom w:w="0" w:type="dxa"/>
          <w:right w:w="108" w:type="dxa"/>
        </w:tblCellMar>
      </w:tblPr>
      <w:tblGrid>
        <w:gridCol w:w="1748"/>
        <w:gridCol w:w="6404"/>
      </w:tblGrid>
      <w:tr w14:paraId="377F54A9">
        <w:tblPrEx>
          <w:tblCellMar>
            <w:top w:w="0" w:type="dxa"/>
            <w:left w:w="108" w:type="dxa"/>
            <w:bottom w:w="0" w:type="dxa"/>
            <w:right w:w="108" w:type="dxa"/>
          </w:tblCellMar>
        </w:tblPrEx>
        <w:trPr>
          <w:trHeight w:val="170" w:hRule="atLeast"/>
        </w:trPr>
        <w:tc>
          <w:tcPr>
            <w:tcW w:w="1072" w:type="pct"/>
          </w:tcPr>
          <w:p w14:paraId="1708A5ED">
            <w:pPr>
              <w:pStyle w:val="55"/>
              <w:spacing w:before="31" w:after="31"/>
              <w:jc w:val="right"/>
            </w:pPr>
            <w:r>
              <w:object>
                <v:shape id="_x0000_i1191" o:spt="75" type="#_x0000_t75" style="height:18.25pt;width:13.95pt;" o:ole="t" filled="f" o:preferrelative="t" stroked="f" coordsize="21600,21600">
                  <v:path/>
                  <v:fill on="f" focussize="0,0"/>
                  <v:stroke on="f" joinstyle="miter"/>
                  <v:imagedata r:id="rId335" o:title=""/>
                  <o:lock v:ext="edit" aspectratio="t"/>
                  <w10:wrap type="none"/>
                  <w10:anchorlock/>
                </v:shape>
                <o:OLEObject Type="Embed" ProgID="Equation.DSMT4" ShapeID="_x0000_i1191" DrawAspect="Content" ObjectID="_1468075889" r:id="rId334">
                  <o:LockedField>false</o:LockedField>
                </o:OLEObject>
              </w:object>
            </w:r>
            <w:r>
              <w:t>——</w:t>
            </w:r>
          </w:p>
        </w:tc>
        <w:tc>
          <w:tcPr>
            <w:tcW w:w="3928" w:type="pct"/>
          </w:tcPr>
          <w:p w14:paraId="41D22FC4">
            <w:pPr>
              <w:pStyle w:val="55"/>
              <w:spacing w:before="31" w:after="31"/>
              <w:jc w:val="both"/>
            </w:pPr>
            <w:r>
              <w:rPr>
                <w:rFonts w:hint="eastAsia"/>
              </w:rPr>
              <w:t>高延性纤维增强水泥基复合材料</w:t>
            </w:r>
            <w:r>
              <w:t>轴心抗压强度设计值；</w:t>
            </w:r>
          </w:p>
        </w:tc>
      </w:tr>
      <w:tr w14:paraId="0B6B5723">
        <w:tblPrEx>
          <w:tblCellMar>
            <w:top w:w="0" w:type="dxa"/>
            <w:left w:w="108" w:type="dxa"/>
            <w:bottom w:w="0" w:type="dxa"/>
            <w:right w:w="108" w:type="dxa"/>
          </w:tblCellMar>
        </w:tblPrEx>
        <w:trPr>
          <w:trHeight w:val="170" w:hRule="atLeast"/>
        </w:trPr>
        <w:tc>
          <w:tcPr>
            <w:tcW w:w="1072" w:type="pct"/>
          </w:tcPr>
          <w:p w14:paraId="2ADFA4CC">
            <w:pPr>
              <w:pStyle w:val="55"/>
              <w:spacing w:before="31" w:after="31"/>
              <w:jc w:val="right"/>
            </w:pPr>
            <w:r>
              <w:object>
                <v:shape id="_x0000_i1192" o:spt="75" type="#_x0000_t75" style="height:18.25pt;width:15.05pt;" o:ole="t" filled="f" o:preferrelative="t" stroked="f" coordsize="21600,21600">
                  <v:path/>
                  <v:fill on="f" focussize="0,0"/>
                  <v:stroke on="f" joinstyle="miter"/>
                  <v:imagedata r:id="rId337" o:title=""/>
                  <o:lock v:ext="edit" aspectratio="t"/>
                  <w10:wrap type="none"/>
                  <w10:anchorlock/>
                </v:shape>
                <o:OLEObject Type="Embed" ProgID="Equation.DSMT4" ShapeID="_x0000_i1192" DrawAspect="Content" ObjectID="_1468075890" r:id="rId336">
                  <o:LockedField>false</o:LockedField>
                </o:OLEObject>
              </w:object>
            </w:r>
            <w:r>
              <w:rPr>
                <w:rFonts w:hint="eastAsia"/>
              </w:rPr>
              <w:t>、</w:t>
            </w:r>
            <w:r>
              <w:object>
                <v:shape id="_x0000_i1193" o:spt="75" type="#_x0000_t75" style="height:18.25pt;width:13.95pt;" o:ole="t" filled="f" o:preferrelative="t" stroked="f" coordsize="21600,21600">
                  <v:path/>
                  <v:fill on="f" focussize="0,0"/>
                  <v:stroke on="f" joinstyle="miter"/>
                  <v:imagedata r:id="rId339" o:title=""/>
                  <o:lock v:ext="edit" aspectratio="t"/>
                  <w10:wrap type="none"/>
                  <w10:anchorlock/>
                </v:shape>
                <o:OLEObject Type="Embed" ProgID="Equation.DSMT4" ShapeID="_x0000_i1193" DrawAspect="Content" ObjectID="_1468075891" r:id="rId338">
                  <o:LockedField>false</o:LockedField>
                </o:OLEObject>
              </w:object>
            </w:r>
            <w:r>
              <w:t>——</w:t>
            </w:r>
          </w:p>
        </w:tc>
        <w:tc>
          <w:tcPr>
            <w:tcW w:w="3928" w:type="pct"/>
          </w:tcPr>
          <w:p w14:paraId="60C1F1EF">
            <w:pPr>
              <w:pStyle w:val="55"/>
              <w:spacing w:before="31" w:after="31"/>
              <w:jc w:val="both"/>
            </w:pPr>
            <w:r>
              <w:t>在峰值应力状态下的</w:t>
            </w:r>
            <w:r>
              <w:rPr>
                <w:rFonts w:hint="eastAsia"/>
              </w:rPr>
              <w:t>ECC</w:t>
            </w:r>
            <w:r>
              <w:t>受压等效应力图形系数为</w:t>
            </w:r>
            <w:r>
              <w:object>
                <v:shape id="_x0000_i1194" o:spt="75" type="#_x0000_t75" style="height:18.25pt;width:44.6pt;" o:ole="t" filled="f" o:preferrelative="t" stroked="f" coordsize="21600,21600">
                  <v:path/>
                  <v:fill on="f" focussize="0,0"/>
                  <v:stroke on="f" joinstyle="miter"/>
                  <v:imagedata r:id="rId341" o:title=""/>
                  <o:lock v:ext="edit" aspectratio="t"/>
                  <w10:wrap type="none"/>
                  <w10:anchorlock/>
                </v:shape>
                <o:OLEObject Type="Embed" ProgID="Equation.DSMT4" ShapeID="_x0000_i1194" DrawAspect="Content" ObjectID="_1468075892" r:id="rId340">
                  <o:LockedField>false</o:LockedField>
                </o:OLEObject>
              </w:object>
            </w:r>
            <w:r>
              <w:rPr>
                <w:rFonts w:hint="eastAsia"/>
              </w:rPr>
              <w:t>、</w:t>
            </w:r>
            <w:r>
              <w:object>
                <v:shape id="_x0000_i1195" o:spt="75" type="#_x0000_t75" style="height:18.25pt;width:44.6pt;" o:ole="t" filled="f" o:preferrelative="t" stroked="f" coordsize="21600,21600">
                  <v:path/>
                  <v:fill on="f" focussize="0,0"/>
                  <v:stroke on="f" joinstyle="miter"/>
                  <v:imagedata r:id="rId343" o:title=""/>
                  <o:lock v:ext="edit" aspectratio="t"/>
                  <w10:wrap type="none"/>
                  <w10:anchorlock/>
                </v:shape>
                <o:OLEObject Type="Embed" ProgID="Equation.DSMT4" ShapeID="_x0000_i1195" DrawAspect="Content" ObjectID="_1468075893" r:id="rId342">
                  <o:LockedField>false</o:LockedField>
                </o:OLEObject>
              </w:object>
            </w:r>
            <w:r>
              <w:t>；</w:t>
            </w:r>
          </w:p>
        </w:tc>
      </w:tr>
      <w:tr w14:paraId="1513B716">
        <w:tblPrEx>
          <w:tblCellMar>
            <w:top w:w="0" w:type="dxa"/>
            <w:left w:w="108" w:type="dxa"/>
            <w:bottom w:w="0" w:type="dxa"/>
            <w:right w:w="108" w:type="dxa"/>
          </w:tblCellMar>
        </w:tblPrEx>
        <w:trPr>
          <w:trHeight w:val="170" w:hRule="atLeast"/>
        </w:trPr>
        <w:tc>
          <w:tcPr>
            <w:tcW w:w="1072" w:type="pct"/>
          </w:tcPr>
          <w:p w14:paraId="2FFA901D">
            <w:pPr>
              <w:pStyle w:val="55"/>
              <w:spacing w:before="31" w:after="31"/>
              <w:jc w:val="right"/>
            </w:pPr>
            <w:r>
              <w:object>
                <v:shape id="_x0000_i1196" o:spt="75" type="#_x0000_t75" style="height:18.25pt;width:19.35pt;" o:ole="t" filled="f" o:preferrelative="t" stroked="f" coordsize="21600,21600">
                  <v:path/>
                  <v:fill on="f" focussize="0,0"/>
                  <v:stroke on="f" joinstyle="miter"/>
                  <v:imagedata r:id="rId345" o:title=""/>
                  <o:lock v:ext="edit" aspectratio="t"/>
                  <w10:wrap type="none"/>
                  <w10:anchorlock/>
                </v:shape>
                <o:OLEObject Type="Embed" ProgID="Equation.DSMT4" ShapeID="_x0000_i1196" DrawAspect="Content" ObjectID="_1468075894" r:id="rId344">
                  <o:LockedField>false</o:LockedField>
                </o:OLEObject>
              </w:object>
            </w:r>
            <w:r>
              <w:t>——</w:t>
            </w:r>
          </w:p>
        </w:tc>
        <w:tc>
          <w:tcPr>
            <w:tcW w:w="3928" w:type="pct"/>
          </w:tcPr>
          <w:p w14:paraId="3A777D6E">
            <w:pPr>
              <w:pStyle w:val="55"/>
              <w:spacing w:before="31" w:after="31"/>
              <w:jc w:val="both"/>
            </w:pPr>
            <w:r>
              <w:t>沿截面腹部均匀配置的全部纵向普通钢筋截面面积；</w:t>
            </w:r>
          </w:p>
        </w:tc>
      </w:tr>
      <w:tr w14:paraId="37E2D8B8">
        <w:tblPrEx>
          <w:tblCellMar>
            <w:top w:w="0" w:type="dxa"/>
            <w:left w:w="108" w:type="dxa"/>
            <w:bottom w:w="0" w:type="dxa"/>
            <w:right w:w="108" w:type="dxa"/>
          </w:tblCellMar>
        </w:tblPrEx>
        <w:trPr>
          <w:trHeight w:val="170" w:hRule="atLeast"/>
        </w:trPr>
        <w:tc>
          <w:tcPr>
            <w:tcW w:w="1072" w:type="pct"/>
          </w:tcPr>
          <w:p w14:paraId="30637D77">
            <w:pPr>
              <w:pStyle w:val="55"/>
              <w:spacing w:before="31" w:after="31"/>
              <w:jc w:val="right"/>
            </w:pPr>
            <w:r>
              <w:rPr>
                <w:position w:val="-14"/>
              </w:rPr>
              <w:object>
                <v:shape id="_x0000_i1197" o:spt="75" type="#_x0000_t75" style="height:19.35pt;width:18.25pt;" o:ole="t" filled="f" o:preferrelative="t" stroked="f" coordsize="21600,21600">
                  <v:path/>
                  <v:fill on="f" focussize="0,0"/>
                  <v:stroke on="f" joinstyle="miter"/>
                  <v:imagedata r:id="rId347" o:title=""/>
                  <o:lock v:ext="edit" aspectratio="t"/>
                  <w10:wrap type="none"/>
                  <w10:anchorlock/>
                </v:shape>
                <o:OLEObject Type="Embed" ProgID="Equation.DSMT4" ShapeID="_x0000_i1197" DrawAspect="Content" ObjectID="_1468075895" r:id="rId346">
                  <o:LockedField>false</o:LockedField>
                </o:OLEObject>
              </w:object>
            </w:r>
            <w:r>
              <w:t>——</w:t>
            </w:r>
          </w:p>
        </w:tc>
        <w:tc>
          <w:tcPr>
            <w:tcW w:w="3928" w:type="pct"/>
          </w:tcPr>
          <w:p w14:paraId="73D11A17">
            <w:pPr>
              <w:pStyle w:val="55"/>
              <w:spacing w:before="31" w:after="31"/>
              <w:jc w:val="both"/>
            </w:pPr>
            <w:r>
              <w:t xml:space="preserve">沿截面腹部均匀配置的纵向普通钢筋强度设计值，按本规范表4.2.3-1采用； </w:t>
            </w:r>
          </w:p>
        </w:tc>
      </w:tr>
      <w:tr w14:paraId="2B355440">
        <w:tblPrEx>
          <w:tblCellMar>
            <w:top w:w="0" w:type="dxa"/>
            <w:left w:w="108" w:type="dxa"/>
            <w:bottom w:w="0" w:type="dxa"/>
            <w:right w:w="108" w:type="dxa"/>
          </w:tblCellMar>
        </w:tblPrEx>
        <w:trPr>
          <w:trHeight w:val="170" w:hRule="atLeast"/>
        </w:trPr>
        <w:tc>
          <w:tcPr>
            <w:tcW w:w="1072" w:type="pct"/>
          </w:tcPr>
          <w:p w14:paraId="14A0E822">
            <w:pPr>
              <w:pStyle w:val="55"/>
              <w:spacing w:before="31" w:after="31"/>
              <w:jc w:val="right"/>
            </w:pPr>
            <w:r>
              <w:object>
                <v:shape id="_x0000_i1198" o:spt="75" type="#_x0000_t75" style="height:18.25pt;width:19.9pt;" o:ole="t" filled="f" o:preferrelative="t" stroked="f" coordsize="21600,21600">
                  <v:path/>
                  <v:fill on="f" focussize="0,0"/>
                  <v:stroke on="f" joinstyle="miter"/>
                  <v:imagedata r:id="rId349" o:title=""/>
                  <o:lock v:ext="edit" aspectratio="t"/>
                  <w10:wrap type="none"/>
                  <w10:anchorlock/>
                </v:shape>
                <o:OLEObject Type="Embed" ProgID="Equation.DSMT4" ShapeID="_x0000_i1198" DrawAspect="Content" ObjectID="_1468075896" r:id="rId348">
                  <o:LockedField>false</o:LockedField>
                </o:OLEObject>
              </w:object>
            </w:r>
            <w:r>
              <w:t>——</w:t>
            </w:r>
          </w:p>
        </w:tc>
        <w:tc>
          <w:tcPr>
            <w:tcW w:w="3928" w:type="pct"/>
          </w:tcPr>
          <w:p w14:paraId="7BF6194B">
            <w:pPr>
              <w:pStyle w:val="55"/>
              <w:spacing w:before="31" w:after="31"/>
              <w:jc w:val="both"/>
            </w:pPr>
            <w:r>
              <w:t>沿截面腹部均匀配置的纵向普通钢筋强度所承担的轴向压力，当</w:t>
            </w:r>
            <w:r>
              <w:rPr>
                <w:position w:val="-10"/>
              </w:rPr>
              <w:object>
                <v:shape id="_x0000_i1199" o:spt="75" type="#_x0000_t75" style="height:16.1pt;width:9.65pt;" o:ole="t" filled="f" o:preferrelative="t" stroked="f" coordsize="21600,21600">
                  <v:path/>
                  <v:fill on="f" focussize="0,0"/>
                  <v:stroke on="f" joinstyle="miter"/>
                  <v:imagedata r:id="rId351" o:title=""/>
                  <o:lock v:ext="edit" aspectratio="t"/>
                  <w10:wrap type="none"/>
                  <w10:anchorlock/>
                </v:shape>
                <o:OLEObject Type="Embed" ProgID="Equation.DSMT4" ShapeID="_x0000_i1199" DrawAspect="Content" ObjectID="_1468075897" r:id="rId350">
                  <o:LockedField>false</o:LockedField>
                </o:OLEObject>
              </w:object>
            </w:r>
            <w:r>
              <w:t>大于</w:t>
            </w:r>
            <w:r>
              <w:object>
                <v:shape id="_x0000_i1200" o:spt="75" type="#_x0000_t75" style="height:18.25pt;width:12.35pt;" o:ole="t" filled="f" o:preferrelative="t" stroked="f" coordsize="21600,21600">
                  <v:path/>
                  <v:fill on="f" focussize="0,0"/>
                  <v:stroke on="f" joinstyle="miter"/>
                  <v:imagedata r:id="rId353" o:title=""/>
                  <o:lock v:ext="edit" aspectratio="t"/>
                  <w10:wrap type="none"/>
                  <w10:anchorlock/>
                </v:shape>
                <o:OLEObject Type="Embed" ProgID="Equation.DSMT4" ShapeID="_x0000_i1200" DrawAspect="Content" ObjectID="_1468075898" r:id="rId352">
                  <o:LockedField>false</o:LockedField>
                </o:OLEObject>
              </w:object>
            </w:r>
            <w:r>
              <w:t>时，</w:t>
            </w:r>
            <w:r>
              <w:rPr>
                <w:rFonts w:hint="eastAsia"/>
              </w:rPr>
              <w:t>取为</w:t>
            </w:r>
            <w:r>
              <w:object>
                <v:shape id="_x0000_i1201" o:spt="75" type="#_x0000_t75" style="height:18.25pt;width:12.35pt;" o:ole="t" filled="f" o:preferrelative="t" stroked="f" coordsize="21600,21600">
                  <v:path/>
                  <v:fill on="f" focussize="0,0"/>
                  <v:stroke on="f" joinstyle="miter"/>
                  <v:imagedata r:id="rId353" o:title=""/>
                  <o:lock v:ext="edit" aspectratio="t"/>
                  <w10:wrap type="none"/>
                  <w10:anchorlock/>
                </v:shape>
                <o:OLEObject Type="Embed" ProgID="Equation.DSMT4" ShapeID="_x0000_i1201" DrawAspect="Content" ObjectID="_1468075899" r:id="rId354">
                  <o:LockedField>false</o:LockedField>
                </o:OLEObject>
              </w:object>
            </w:r>
            <w:r>
              <w:t xml:space="preserve">进行计算； </w:t>
            </w:r>
          </w:p>
        </w:tc>
      </w:tr>
      <w:tr w14:paraId="6CD89E9A">
        <w:tblPrEx>
          <w:tblCellMar>
            <w:top w:w="0" w:type="dxa"/>
            <w:left w:w="108" w:type="dxa"/>
            <w:bottom w:w="0" w:type="dxa"/>
            <w:right w:w="108" w:type="dxa"/>
          </w:tblCellMar>
        </w:tblPrEx>
        <w:trPr>
          <w:trHeight w:val="170" w:hRule="atLeast"/>
        </w:trPr>
        <w:tc>
          <w:tcPr>
            <w:tcW w:w="1072" w:type="pct"/>
          </w:tcPr>
          <w:p w14:paraId="37EDD46C">
            <w:pPr>
              <w:pStyle w:val="55"/>
              <w:spacing w:before="31" w:after="31"/>
              <w:jc w:val="right"/>
            </w:pPr>
            <w:r>
              <w:object>
                <v:shape id="_x0000_i1202" o:spt="75" type="#_x0000_t75" style="height:18.25pt;width:23.65pt;" o:ole="t" filled="f" o:preferrelative="t" stroked="f" coordsize="21600,21600">
                  <v:path/>
                  <v:fill on="f" focussize="0,0"/>
                  <v:stroke on="f" joinstyle="miter"/>
                  <v:imagedata r:id="rId356" o:title=""/>
                  <o:lock v:ext="edit" aspectratio="t"/>
                  <w10:wrap type="none"/>
                  <w10:anchorlock/>
                </v:shape>
                <o:OLEObject Type="Embed" ProgID="Equation.DSMT4" ShapeID="_x0000_i1202" DrawAspect="Content" ObjectID="_1468075900" r:id="rId355">
                  <o:LockedField>false</o:LockedField>
                </o:OLEObject>
              </w:object>
            </w:r>
            <w:r>
              <w:t>——</w:t>
            </w:r>
          </w:p>
        </w:tc>
        <w:tc>
          <w:tcPr>
            <w:tcW w:w="3928" w:type="pct"/>
          </w:tcPr>
          <w:p w14:paraId="39FAFD6A">
            <w:pPr>
              <w:pStyle w:val="55"/>
              <w:spacing w:before="31" w:after="31"/>
              <w:jc w:val="both"/>
            </w:pPr>
            <w:r>
              <w:t>沿截面腹部均匀配置的纵向普通钢筋的内力对</w:t>
            </w:r>
            <m:oMath>
              <m:sSub>
                <m:sSubPr>
                  <m:ctrlPr>
                    <w:rPr>
                      <w:rFonts w:ascii="Cambria Math" w:hAnsi="Cambria Math"/>
                    </w:rPr>
                  </m:ctrlPr>
                </m:sSubPr>
                <m:e>
                  <m:r>
                    <m:rPr>
                      <m:sty m:val="p"/>
                    </m:rPr>
                    <w:rPr>
                      <w:rFonts w:ascii="Cambria Math" w:hAnsi="Cambria Math"/>
                    </w:rPr>
                    <m:t>A</m:t>
                  </m:r>
                  <m:ctrlPr>
                    <w:rPr>
                      <w:rFonts w:ascii="Cambria Math" w:hAnsi="Cambria Math"/>
                    </w:rPr>
                  </m:ctrlPr>
                </m:e>
                <m:sub>
                  <m:r>
                    <m:rPr>
                      <m:sty m:val="p"/>
                    </m:rPr>
                    <w:rPr>
                      <w:rFonts w:ascii="Cambria Math" w:hAnsi="Cambria Math"/>
                    </w:rPr>
                    <m:t>s</m:t>
                  </m:r>
                  <m:ctrlPr>
                    <w:rPr>
                      <w:rFonts w:ascii="Cambria Math" w:hAnsi="Cambria Math"/>
                    </w:rPr>
                  </m:ctrlPr>
                </m:sub>
              </m:sSub>
            </m:oMath>
            <w:r>
              <w:t>重心的力矩，当</w:t>
            </w:r>
            <m:oMath>
              <m:r>
                <m:rPr>
                  <m:sty m:val="p"/>
                </m:rPr>
                <w:rPr>
                  <w:rFonts w:ascii="Cambria Math" w:hAnsi="Cambria Math"/>
                </w:rPr>
                <m:t>ξ</m:t>
              </m:r>
            </m:oMath>
            <w:r>
              <w:t>大于</w:t>
            </w:r>
            <w:r>
              <w:object>
                <v:shape id="_x0000_i1203" o:spt="75" type="#_x0000_t75" style="height:18.25pt;width:12.35pt;" o:ole="t" filled="f" o:preferrelative="t" stroked="f" coordsize="21600,21600">
                  <v:path/>
                  <v:fill on="f" focussize="0,0"/>
                  <v:stroke on="f" joinstyle="miter"/>
                  <v:imagedata r:id="rId353" o:title=""/>
                  <o:lock v:ext="edit" aspectratio="t"/>
                  <w10:wrap type="none"/>
                  <w10:anchorlock/>
                </v:shape>
                <o:OLEObject Type="Embed" ProgID="Equation.DSMT4" ShapeID="_x0000_i1203" DrawAspect="Content" ObjectID="_1468075901" r:id="rId357">
                  <o:LockedField>false</o:LockedField>
                </o:OLEObject>
              </w:object>
            </w:r>
            <w:r>
              <w:rPr>
                <w:rFonts w:hint="eastAsia"/>
              </w:rPr>
              <w:t>时</w:t>
            </w:r>
            <w:r>
              <w:t>，取</w:t>
            </w:r>
            <w:r>
              <w:rPr>
                <w:rFonts w:hint="eastAsia"/>
              </w:rPr>
              <w:t>为</w:t>
            </w:r>
            <w:r>
              <w:object>
                <v:shape id="_x0000_i1204" o:spt="75" type="#_x0000_t75" style="height:18.25pt;width:12.35pt;" o:ole="t" filled="f" o:preferrelative="t" stroked="f" coordsize="21600,21600">
                  <v:path/>
                  <v:fill on="f" focussize="0,0"/>
                  <v:stroke on="f" joinstyle="miter"/>
                  <v:imagedata r:id="rId353" o:title=""/>
                  <o:lock v:ext="edit" aspectratio="t"/>
                  <w10:wrap type="none"/>
                  <w10:anchorlock/>
                </v:shape>
                <o:OLEObject Type="Embed" ProgID="Equation.DSMT4" ShapeID="_x0000_i1204" DrawAspect="Content" ObjectID="_1468075902" r:id="rId358">
                  <o:LockedField>false</o:LockedField>
                </o:OLEObject>
              </w:object>
            </w:r>
            <w:r>
              <w:t>进行计算；</w:t>
            </w:r>
          </w:p>
        </w:tc>
      </w:tr>
      <w:tr w14:paraId="031CCC18">
        <w:tblPrEx>
          <w:tblCellMar>
            <w:top w:w="0" w:type="dxa"/>
            <w:left w:w="108" w:type="dxa"/>
            <w:bottom w:w="0" w:type="dxa"/>
            <w:right w:w="108" w:type="dxa"/>
          </w:tblCellMar>
        </w:tblPrEx>
        <w:trPr>
          <w:trHeight w:val="170" w:hRule="atLeast"/>
        </w:trPr>
        <w:tc>
          <w:tcPr>
            <w:tcW w:w="1072" w:type="pct"/>
          </w:tcPr>
          <w:p w14:paraId="4D4964A5">
            <w:pPr>
              <w:pStyle w:val="55"/>
              <w:spacing w:before="31" w:after="31"/>
              <w:jc w:val="right"/>
            </w:pPr>
            <w:r>
              <w:rPr>
                <w:position w:val="-6"/>
              </w:rPr>
              <w:object>
                <v:shape id="_x0000_i1205" o:spt="75" type="#_x0000_t75" style="height:10.75pt;width:11.8pt;" o:ole="t" filled="f" o:preferrelative="t" stroked="f" coordsize="21600,21600">
                  <v:path/>
                  <v:fill on="f" focussize="0,0"/>
                  <v:stroke on="f" joinstyle="miter"/>
                  <v:imagedata r:id="rId360" o:title=""/>
                  <o:lock v:ext="edit" aspectratio="t"/>
                  <w10:wrap type="none"/>
                  <w10:anchorlock/>
                </v:shape>
                <o:OLEObject Type="Embed" ProgID="Equation.DSMT4" ShapeID="_x0000_i1205" DrawAspect="Content" ObjectID="_1468075903" r:id="rId359">
                  <o:LockedField>false</o:LockedField>
                </o:OLEObject>
              </w:object>
            </w:r>
            <w:r>
              <w:t>——</w:t>
            </w:r>
          </w:p>
        </w:tc>
        <w:tc>
          <w:tcPr>
            <w:tcW w:w="3928" w:type="pct"/>
          </w:tcPr>
          <w:p w14:paraId="13A6DA99">
            <w:pPr>
              <w:pStyle w:val="55"/>
              <w:spacing w:before="31" w:after="31"/>
              <w:jc w:val="both"/>
            </w:pPr>
            <w:r>
              <w:t>均匀配置纵向普通钢筋区段的高度</w:t>
            </w:r>
            <w:r>
              <w:object>
                <v:shape id="_x0000_i1206" o:spt="75" type="#_x0000_t75" style="height:18.25pt;width:16.65pt;" o:ole="t" filled="f" o:preferrelative="t" stroked="f" coordsize="21600,21600">
                  <v:path/>
                  <v:fill on="f" focussize="0,0"/>
                  <v:stroke on="f" joinstyle="miter"/>
                  <v:imagedata r:id="rId362" o:title=""/>
                  <o:lock v:ext="edit" aspectratio="t"/>
                  <w10:wrap type="none"/>
                  <w10:anchorlock/>
                </v:shape>
                <o:OLEObject Type="Embed" ProgID="Equation.DSMT4" ShapeID="_x0000_i1206" DrawAspect="Content" ObjectID="_1468075904" r:id="rId361">
                  <o:LockedField>false</o:LockedField>
                </o:OLEObject>
              </w:object>
            </w:r>
            <w:r>
              <w:rPr>
                <w:rFonts w:hint="eastAsia"/>
              </w:rPr>
              <w:t>与</w:t>
            </w:r>
            <w:r>
              <w:t>截面有效高度</w:t>
            </w:r>
            <w:r>
              <w:object>
                <v:shape id="_x0000_i1207" o:spt="75" type="#_x0000_t75" style="height:18.25pt;width:12.35pt;" o:ole="t" filled="f" o:preferrelative="t" stroked="f" coordsize="21600,21600">
                  <v:path/>
                  <v:fill on="f" focussize="0,0"/>
                  <v:stroke on="f" joinstyle="miter"/>
                  <v:imagedata r:id="rId364" o:title=""/>
                  <o:lock v:ext="edit" aspectratio="t"/>
                  <w10:wrap type="none"/>
                  <w10:anchorlock/>
                </v:shape>
                <o:OLEObject Type="Embed" ProgID="Equation.DSMT4" ShapeID="_x0000_i1207" DrawAspect="Content" ObjectID="_1468075905" r:id="rId363">
                  <o:LockedField>false</o:LockedField>
                </o:OLEObject>
              </w:object>
            </w:r>
            <w:r>
              <w:rPr>
                <w:rFonts w:hint="eastAsia"/>
              </w:rPr>
              <w:t>的</w:t>
            </w:r>
            <w:r>
              <w:t>值</w:t>
            </w:r>
            <w:r>
              <w:rPr>
                <w:rFonts w:hint="eastAsia"/>
              </w:rPr>
              <w:t>，</w:t>
            </w:r>
            <w:r>
              <w:t>宜取</w:t>
            </w:r>
            <w:r>
              <w:object>
                <v:shape id="_x0000_i1208" o:spt="75" type="#_x0000_t75" style="height:18.25pt;width:16.65pt;" o:ole="t" filled="f" o:preferrelative="t" stroked="f" coordsize="21600,21600">
                  <v:path/>
                  <v:fill on="f" focussize="0,0"/>
                  <v:stroke on="f" joinstyle="miter"/>
                  <v:imagedata r:id="rId362" o:title=""/>
                  <o:lock v:ext="edit" aspectratio="t"/>
                  <w10:wrap type="none"/>
                  <w10:anchorlock/>
                </v:shape>
                <o:OLEObject Type="Embed" ProgID="Equation.DSMT4" ShapeID="_x0000_i1208" DrawAspect="Content" ObjectID="_1468075906" r:id="rId365">
                  <o:LockedField>false</o:LockedField>
                </o:OLEObject>
              </w:object>
            </w:r>
            <w:r>
              <w:rPr>
                <w:rFonts w:hint="eastAsia"/>
              </w:rPr>
              <w:t>为</w:t>
            </w:r>
            <w:r>
              <w:rPr>
                <w:position w:val="-16"/>
              </w:rPr>
              <w:object>
                <v:shape id="_x0000_i1209" o:spt="75" type="#_x0000_t75" style="height:22.05pt;width:44.6pt;" o:ole="t" filled="f" o:preferrelative="t" stroked="f" coordsize="21600,21600">
                  <v:path/>
                  <v:fill on="f" focussize="0,0"/>
                  <v:stroke on="f" joinstyle="miter"/>
                  <v:imagedata r:id="rId367" o:title=""/>
                  <o:lock v:ext="edit" aspectratio="t"/>
                  <w10:wrap type="none"/>
                  <w10:anchorlock/>
                </v:shape>
                <o:OLEObject Type="Embed" ProgID="Equation.DSMT4" ShapeID="_x0000_i1209" DrawAspect="Content" ObjectID="_1468075907" r:id="rId366">
                  <o:LockedField>false</o:LockedField>
                </o:OLEObject>
              </w:object>
            </w:r>
            <w:r>
              <w:rPr>
                <w:rFonts w:hint="eastAsia"/>
              </w:rPr>
              <w:t>。</w:t>
            </w:r>
          </w:p>
        </w:tc>
      </w:tr>
    </w:tbl>
    <w:p w14:paraId="098D9D88">
      <w:pPr>
        <w:ind w:firstLine="420"/>
      </w:pPr>
      <w:r>
        <w:t>受拉边或受压较小边普通钢筋</w:t>
      </w:r>
      <m:oMath>
        <m:sSub>
          <m:sSubPr>
            <m:ctrlPr>
              <w:rPr>
                <w:rFonts w:ascii="Cambria Math" w:hAnsi="Cambria Math"/>
              </w:rPr>
            </m:ctrlPr>
          </m:sSubPr>
          <m:e>
            <m:r>
              <m:rPr>
                <m:sty m:val="p"/>
              </m:rPr>
              <w:rPr>
                <w:rFonts w:ascii="Cambria Math" w:hAnsi="Cambria Math"/>
              </w:rPr>
              <m:t>A</m:t>
            </m:r>
            <m:ctrlPr>
              <w:rPr>
                <w:rFonts w:ascii="Cambria Math" w:hAnsi="Cambria Math"/>
              </w:rPr>
            </m:ctrlPr>
          </m:e>
          <m:sub>
            <m:r>
              <m:rPr>
                <m:sty m:val="p"/>
              </m:rPr>
              <w:rPr>
                <w:rFonts w:ascii="Cambria Math" w:hAnsi="Cambria Math"/>
              </w:rPr>
              <m:t>s</m:t>
            </m:r>
            <m:ctrlPr>
              <w:rPr>
                <w:rFonts w:ascii="Cambria Math" w:hAnsi="Cambria Math"/>
              </w:rPr>
            </m:ctrlPr>
          </m:sub>
        </m:sSub>
      </m:oMath>
      <w:r>
        <w:t>中的应力</w:t>
      </w:r>
      <m:oMath>
        <m:sSub>
          <m:sSubPr>
            <m:ctrlPr>
              <w:rPr>
                <w:rFonts w:ascii="Cambria Math" w:hAnsi="Cambria Math"/>
              </w:rPr>
            </m:ctrlPr>
          </m:sSubPr>
          <m:e>
            <m:r>
              <m:rPr>
                <m:sty m:val="p"/>
              </m:rPr>
              <w:rPr>
                <w:rFonts w:ascii="Cambria Math" w:hAnsi="Cambria Math"/>
              </w:rPr>
              <m:t>σ</m:t>
            </m:r>
            <m:ctrlPr>
              <w:rPr>
                <w:rFonts w:ascii="Cambria Math" w:hAnsi="Cambria Math"/>
              </w:rPr>
            </m:ctrlPr>
          </m:e>
          <m:sub>
            <m:r>
              <m:rPr/>
              <w:rPr>
                <w:rFonts w:ascii="Cambria Math" w:hAnsi="Cambria Math"/>
              </w:rPr>
              <m:t>s</m:t>
            </m:r>
            <m:ctrlPr>
              <w:rPr>
                <w:rFonts w:ascii="Cambria Math" w:hAnsi="Cambria Math"/>
              </w:rPr>
            </m:ctrlPr>
          </m:sub>
        </m:sSub>
      </m:oMath>
      <w:r>
        <w:t>以及在计算中是否考虑受压普通钢筋和受压较小边翼缘受压部分的作用，应按《混凝土结构设计规范》GB 50010-2010第</w:t>
      </w:r>
      <w:r>
        <w:rPr>
          <w:rFonts w:hint="eastAsia"/>
        </w:rPr>
        <w:t>6.</w:t>
      </w:r>
      <w:r>
        <w:t>2.17条和第</w:t>
      </w:r>
      <w:r>
        <w:rPr>
          <w:rFonts w:hint="eastAsia"/>
        </w:rPr>
        <w:t>6.</w:t>
      </w:r>
      <w:r>
        <w:t>2.18条的有关规定确定。</w:t>
      </w:r>
    </w:p>
    <w:p w14:paraId="0E69D0FB">
      <w:pPr>
        <w:pStyle w:val="10"/>
        <w:spacing w:line="240" w:lineRule="atLeast"/>
        <w:ind w:firstLine="480"/>
        <w:jc w:val="center"/>
      </w:pPr>
      <w:r>
        <w:drawing>
          <wp:inline distT="0" distB="0" distL="0" distR="0">
            <wp:extent cx="1976755" cy="1923415"/>
            <wp:effectExtent l="0" t="0" r="4445" b="635"/>
            <wp:docPr id="1511895338" name="图片 151189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95338" name="图片 1511895338"/>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a:xfrm>
                      <a:off x="0" y="0"/>
                      <a:ext cx="1984462" cy="1930828"/>
                    </a:xfrm>
                    <a:prstGeom prst="rect">
                      <a:avLst/>
                    </a:prstGeom>
                    <a:noFill/>
                    <a:ln>
                      <a:noFill/>
                    </a:ln>
                  </pic:spPr>
                </pic:pic>
              </a:graphicData>
            </a:graphic>
          </wp:inline>
        </w:drawing>
      </w:r>
    </w:p>
    <w:p w14:paraId="0C82F8D4">
      <w:pPr>
        <w:pStyle w:val="10"/>
        <w:ind w:firstLine="480"/>
        <w:jc w:val="center"/>
      </w:pPr>
      <w:r>
        <w:t>图</w:t>
      </w:r>
      <w:r>
        <w:rPr>
          <w:rFonts w:hint="eastAsia"/>
        </w:rPr>
        <w:t>6.</w:t>
      </w:r>
      <w:r>
        <w:t>2.4 沿截面腹部均匀配筋的Ⅰ形截面</w:t>
      </w:r>
    </w:p>
    <w:p w14:paraId="254A1945">
      <w:pPr>
        <w:pStyle w:val="3"/>
      </w:pPr>
      <w:r>
        <w:rPr>
          <w:rFonts w:hint="eastAsia"/>
        </w:rPr>
        <w:t>6.3  钢筋混凝土梁加固</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26B82371">
      <w:pPr>
        <w:pStyle w:val="4"/>
      </w:pPr>
      <w:r>
        <w:rPr>
          <w:b/>
        </w:rPr>
        <w:t>6.3.1</w:t>
      </w:r>
      <w:r>
        <w:t xml:space="preserve">  钢筋混凝土梁抗剪加固时，其加固后的受剪截面应符合下列条件：</w:t>
      </w:r>
    </w:p>
    <w:p w14:paraId="01346272">
      <w:pPr>
        <w:ind w:firstLine="422"/>
      </w:pPr>
      <w:r>
        <w:rPr>
          <w:b/>
        </w:rPr>
        <w:t>1</w:t>
      </w:r>
      <w:r>
        <w:t xml:space="preserve">  当</w:t>
      </w:r>
      <w:r>
        <w:object>
          <v:shape id="_x0000_i1210" o:spt="75" type="#_x0000_t75" style="height:19.9pt;width:67.7pt;" o:ole="t" filled="f" o:preferrelative="t" stroked="f" coordsize="21600,21600">
            <v:path/>
            <v:fill on="f" focussize="0,0"/>
            <v:stroke on="f" joinstyle="miter"/>
            <v:imagedata r:id="rId370" o:title=""/>
            <o:lock v:ext="edit" aspectratio="t"/>
            <w10:wrap type="none"/>
            <w10:anchorlock/>
          </v:shape>
          <o:OLEObject Type="Embed" ProgID="Equation.DSMT4" ShapeID="_x0000_i1210" DrawAspect="Content" ObjectID="_1468075908" r:id="rId369">
            <o:LockedField>false</o:LockedField>
          </o:OLEObject>
        </w:object>
      </w:r>
      <w:r>
        <w:t>时</w:t>
      </w:r>
    </w:p>
    <w:p w14:paraId="51B17253">
      <w:pPr>
        <w:tabs>
          <w:tab w:val="left" w:pos="2565"/>
        </w:tabs>
        <w:wordWrap w:val="0"/>
        <w:spacing w:after="312" w:line="312" w:lineRule="auto"/>
        <w:ind w:firstLine="420"/>
        <w:jc w:val="right"/>
      </w:pPr>
      <w:r>
        <w:rPr>
          <w:position w:val="-10"/>
        </w:rPr>
        <w:object>
          <v:shape id="_x0000_i1211" o:spt="75" type="#_x0000_t75" style="height:22.55pt;width:173.55pt;" o:ole="t" filled="f" o:preferrelative="t" stroked="f" coordsize="21600,21600">
            <v:path/>
            <v:fill on="f" focussize="0,0"/>
            <v:stroke on="f" joinstyle="miter"/>
            <v:imagedata r:id="rId372" o:title=""/>
            <o:lock v:ext="edit" aspectratio="t"/>
            <w10:wrap type="none"/>
            <w10:anchorlock/>
          </v:shape>
          <o:OLEObject Type="Embed" ProgID="Equation.DSMT4" ShapeID="_x0000_i1211" DrawAspect="Content" ObjectID="_1468075909" r:id="rId371">
            <o:LockedField>false</o:LockedField>
          </o:OLEObject>
        </w:object>
      </w:r>
      <w:r>
        <w:t xml:space="preserve">   </w:t>
      </w:r>
      <w:r>
        <w:rPr>
          <w:rFonts w:hint="eastAsia"/>
        </w:rPr>
        <w:t xml:space="preserve">   </w:t>
      </w:r>
      <w:r>
        <w:t xml:space="preserve">   </w:t>
      </w:r>
      <w:r>
        <w:rPr>
          <w:rFonts w:cs="Times New Roman"/>
          <w:sz w:val="28"/>
          <w:szCs w:val="28"/>
        </w:rPr>
        <w:t>（6.3.1-1）</w:t>
      </w:r>
    </w:p>
    <w:p w14:paraId="1F7BBBDD">
      <w:pPr>
        <w:ind w:firstLine="422"/>
      </w:pPr>
      <w:r>
        <w:rPr>
          <w:b/>
        </w:rPr>
        <w:t xml:space="preserve">2 </w:t>
      </w:r>
      <w:r>
        <w:t xml:space="preserve"> 当</w:t>
      </w:r>
      <w:r>
        <w:object>
          <v:shape id="_x0000_i1212" o:spt="75" type="#_x0000_t75" style="height:19.9pt;width:62.85pt;" o:ole="t" filled="f" o:preferrelative="t" stroked="f" coordsize="21600,21600">
            <v:path/>
            <v:fill on="f" focussize="0,0"/>
            <v:stroke on="f" joinstyle="miter"/>
            <v:imagedata r:id="rId374" o:title=""/>
            <o:lock v:ext="edit" aspectratio="t"/>
            <w10:wrap type="none"/>
            <w10:anchorlock/>
          </v:shape>
          <o:OLEObject Type="Embed" ProgID="Equation.DSMT4" ShapeID="_x0000_i1212" DrawAspect="Content" ObjectID="_1468075910" r:id="rId373">
            <o:LockedField>false</o:LockedField>
          </o:OLEObject>
        </w:object>
      </w:r>
      <w:r>
        <w:t>时</w:t>
      </w:r>
    </w:p>
    <w:p w14:paraId="68E2C6D4">
      <w:pPr>
        <w:tabs>
          <w:tab w:val="left" w:pos="2565"/>
        </w:tabs>
        <w:wordWrap w:val="0"/>
        <w:spacing w:after="312" w:line="312" w:lineRule="auto"/>
        <w:ind w:firstLine="420"/>
        <w:jc w:val="right"/>
      </w:pPr>
      <w:r>
        <w:rPr>
          <w:position w:val="-10"/>
        </w:rPr>
        <w:object>
          <v:shape id="_x0000_i1213" o:spt="75" type="#_x0000_t75" style="height:22.05pt;width:166.55pt;" o:ole="t" filled="f" o:preferrelative="t" stroked="f" coordsize="21600,21600">
            <v:path/>
            <v:fill on="f" focussize="0,0"/>
            <v:stroke on="f" joinstyle="miter"/>
            <v:imagedata r:id="rId376" o:title=""/>
            <o:lock v:ext="edit" aspectratio="t"/>
            <w10:wrap type="none"/>
            <w10:anchorlock/>
          </v:shape>
          <o:OLEObject Type="Embed" ProgID="Equation.DSMT4" ShapeID="_x0000_i1213" DrawAspect="Content" ObjectID="_1468075911" r:id="rId375">
            <o:LockedField>false</o:LockedField>
          </o:OLEObject>
        </w:object>
      </w:r>
      <w:r>
        <w:t xml:space="preserve">   </w:t>
      </w:r>
      <w:r>
        <w:rPr>
          <w:rFonts w:hint="eastAsia"/>
        </w:rPr>
        <w:t xml:space="preserve">    </w:t>
      </w:r>
      <w:r>
        <w:t xml:space="preserve">  </w:t>
      </w:r>
      <w:r>
        <w:rPr>
          <w:rFonts w:cs="Times New Roman"/>
          <w:sz w:val="28"/>
          <w:szCs w:val="28"/>
        </w:rPr>
        <w:t>（6.3.1-2）</w:t>
      </w:r>
    </w:p>
    <w:p w14:paraId="5EF2A009">
      <w:pPr>
        <w:ind w:firstLine="422"/>
      </w:pPr>
      <w:r>
        <w:rPr>
          <w:b/>
        </w:rPr>
        <w:t>3</w:t>
      </w:r>
      <w:r>
        <w:t xml:space="preserve">  当</w:t>
      </w:r>
      <w:r>
        <w:rPr>
          <w:position w:val="-10"/>
        </w:rPr>
        <w:object>
          <v:shape id="_x0000_i1214" o:spt="75" type="#_x0000_t75" style="height:16.1pt;width:70.95pt;" o:ole="t" filled="f" o:preferrelative="t" stroked="f" coordsize="21600,21600">
            <v:path/>
            <v:fill on="f" focussize="0,0"/>
            <v:stroke on="f" joinstyle="miter"/>
            <v:imagedata r:id="rId378" o:title=""/>
            <o:lock v:ext="edit" aspectratio="t"/>
            <w10:wrap type="none"/>
            <w10:anchorlock/>
          </v:shape>
          <o:OLEObject Type="Embed" ProgID="Equation.DSMT4" ShapeID="_x0000_i1214" DrawAspect="Content" ObjectID="_1468075912" r:id="rId377">
            <o:LockedField>false</o:LockedField>
          </o:OLEObject>
        </w:object>
      </w:r>
      <w:r>
        <w:t>时，按线性内插法确定。</w:t>
      </w:r>
    </w:p>
    <w:tbl>
      <w:tblPr>
        <w:tblStyle w:val="28"/>
        <w:tblW w:w="7934" w:type="dxa"/>
        <w:tblInd w:w="108" w:type="dxa"/>
        <w:tblLayout w:type="fixed"/>
        <w:tblCellMar>
          <w:top w:w="0" w:type="dxa"/>
          <w:left w:w="108" w:type="dxa"/>
          <w:bottom w:w="0" w:type="dxa"/>
          <w:right w:w="108" w:type="dxa"/>
        </w:tblCellMar>
      </w:tblPr>
      <w:tblGrid>
        <w:gridCol w:w="1452"/>
        <w:gridCol w:w="6482"/>
      </w:tblGrid>
      <w:tr w14:paraId="57C647C9">
        <w:tblPrEx>
          <w:tblCellMar>
            <w:top w:w="0" w:type="dxa"/>
            <w:left w:w="108" w:type="dxa"/>
            <w:bottom w:w="0" w:type="dxa"/>
            <w:right w:w="108" w:type="dxa"/>
          </w:tblCellMar>
        </w:tblPrEx>
        <w:trPr>
          <w:trHeight w:val="564" w:hRule="atLeast"/>
        </w:trPr>
        <w:tc>
          <w:tcPr>
            <w:tcW w:w="1452" w:type="dxa"/>
          </w:tcPr>
          <w:p w14:paraId="1CF25E20">
            <w:pPr>
              <w:pStyle w:val="4"/>
            </w:pPr>
            <w:r>
              <w:t>式中：</w:t>
            </w:r>
          </w:p>
        </w:tc>
        <w:tc>
          <w:tcPr>
            <w:tcW w:w="6482" w:type="dxa"/>
          </w:tcPr>
          <w:p w14:paraId="1911B7D6">
            <w:pPr>
              <w:pStyle w:val="4"/>
            </w:pPr>
          </w:p>
        </w:tc>
      </w:tr>
      <w:tr w14:paraId="4A7BE153">
        <w:tblPrEx>
          <w:tblCellMar>
            <w:top w:w="0" w:type="dxa"/>
            <w:left w:w="108" w:type="dxa"/>
            <w:bottom w:w="0" w:type="dxa"/>
            <w:right w:w="108" w:type="dxa"/>
          </w:tblCellMar>
        </w:tblPrEx>
        <w:trPr>
          <w:trHeight w:val="564" w:hRule="atLeast"/>
        </w:trPr>
        <w:tc>
          <w:tcPr>
            <w:tcW w:w="1452" w:type="dxa"/>
          </w:tcPr>
          <w:p w14:paraId="6CBCC8F4">
            <w:pPr>
              <w:pStyle w:val="4"/>
              <w:jc w:val="right"/>
              <w:rPr>
                <w:kern w:val="0"/>
              </w:rPr>
            </w:pPr>
            <w:r>
              <w:object>
                <v:shape id="_x0000_i1215" o:spt="75" type="#_x0000_t75" style="height:19.9pt;width:16.65pt;" o:ole="t" filled="f" o:preferrelative="t" stroked="f" coordsize="21600,21600">
                  <v:path/>
                  <v:fill on="f" focussize="0,0"/>
                  <v:stroke on="f" joinstyle="miter"/>
                  <v:imagedata r:id="rId380" o:title=""/>
                  <o:lock v:ext="edit" aspectratio="t"/>
                  <w10:wrap type="none"/>
                  <w10:anchorlock/>
                </v:shape>
                <o:OLEObject Type="Embed" ProgID="Equation.DSMT4" ShapeID="_x0000_i1215" DrawAspect="Content" ObjectID="_1468075913" r:id="rId379">
                  <o:LockedField>false</o:LockedField>
                </o:OLEObject>
              </w:object>
            </w:r>
            <w:r>
              <w:rPr>
                <w:kern w:val="0"/>
              </w:rPr>
              <w:t>——</w:t>
            </w:r>
          </w:p>
        </w:tc>
        <w:tc>
          <w:tcPr>
            <w:tcW w:w="6482" w:type="dxa"/>
          </w:tcPr>
          <w:p w14:paraId="217617CD">
            <w:pPr>
              <w:pStyle w:val="4"/>
            </w:pPr>
            <w:r>
              <w:t>截面腹板高度；对矩形截面，取有效高度；对T形截面，取有效高度减去翼缘高度；对I形截面，取腹板净高；</w:t>
            </w:r>
          </w:p>
        </w:tc>
      </w:tr>
      <w:tr w14:paraId="653D3DB8">
        <w:tblPrEx>
          <w:tblCellMar>
            <w:top w:w="0" w:type="dxa"/>
            <w:left w:w="108" w:type="dxa"/>
            <w:bottom w:w="0" w:type="dxa"/>
            <w:right w:w="108" w:type="dxa"/>
          </w:tblCellMar>
        </w:tblPrEx>
        <w:trPr>
          <w:trHeight w:val="277" w:hRule="atLeast"/>
        </w:trPr>
        <w:tc>
          <w:tcPr>
            <w:tcW w:w="1452" w:type="dxa"/>
          </w:tcPr>
          <w:p w14:paraId="0D7FFC6E">
            <w:pPr>
              <w:pStyle w:val="4"/>
              <w:jc w:val="right"/>
              <w:rPr>
                <w:kern w:val="0"/>
              </w:rPr>
            </w:pPr>
            <w:r>
              <w:object>
                <v:shape id="_x0000_i1216" o:spt="75" type="#_x0000_t75" style="height:16.65pt;width:16.65pt;" o:ole="t" filled="f" o:preferrelative="t" stroked="f" coordsize="21600,21600">
                  <v:path/>
                  <v:fill on="f" focussize="0,0"/>
                  <v:stroke on="f" joinstyle="miter"/>
                  <v:imagedata r:id="rId382" o:title=""/>
                  <o:lock v:ext="edit" aspectratio="t"/>
                  <w10:wrap type="none"/>
                  <w10:anchorlock/>
                </v:shape>
                <o:OLEObject Type="Embed" ProgID="Equation.DSMT4" ShapeID="_x0000_i1216" DrawAspect="Content" ObjectID="_1468075914" r:id="rId381">
                  <o:LockedField>false</o:LockedField>
                </o:OLEObject>
              </w:object>
            </w:r>
            <w:r>
              <w:rPr>
                <w:kern w:val="0"/>
              </w:rPr>
              <w:t>——</w:t>
            </w:r>
          </w:p>
        </w:tc>
        <w:tc>
          <w:tcPr>
            <w:tcW w:w="6482" w:type="dxa"/>
          </w:tcPr>
          <w:p w14:paraId="0203C22F">
            <w:pPr>
              <w:pStyle w:val="4"/>
            </w:pPr>
            <w:r>
              <w:t>构件的剪力设计值；</w:t>
            </w:r>
          </w:p>
        </w:tc>
      </w:tr>
      <w:tr w14:paraId="43C894B8">
        <w:tblPrEx>
          <w:tblCellMar>
            <w:top w:w="0" w:type="dxa"/>
            <w:left w:w="108" w:type="dxa"/>
            <w:bottom w:w="0" w:type="dxa"/>
            <w:right w:w="108" w:type="dxa"/>
          </w:tblCellMar>
        </w:tblPrEx>
        <w:tc>
          <w:tcPr>
            <w:tcW w:w="1452" w:type="dxa"/>
          </w:tcPr>
          <w:p w14:paraId="7975A1F8">
            <w:pPr>
              <w:pStyle w:val="4"/>
              <w:jc w:val="right"/>
            </w:pPr>
            <w:r>
              <w:object>
                <v:shape id="_x0000_i1217" o:spt="75" type="#_x0000_t75" style="height:16.65pt;width:16.1pt;" o:ole="t" filled="f" o:preferrelative="t" stroked="f" coordsize="21600,21600">
                  <v:path/>
                  <v:fill on="f" focussize="0,0"/>
                  <v:stroke on="f" joinstyle="miter"/>
                  <v:imagedata r:id="rId384" o:title=""/>
                  <o:lock v:ext="edit" aspectratio="t"/>
                  <w10:wrap type="none"/>
                  <w10:anchorlock/>
                </v:shape>
                <o:OLEObject Type="Embed" ProgID="Equation.DSMT4" ShapeID="_x0000_i1217" DrawAspect="Content" ObjectID="_1468075915" r:id="rId383">
                  <o:LockedField>false</o:LockedField>
                </o:OLEObject>
              </w:object>
            </w:r>
            <w:r>
              <w:t>——</w:t>
            </w:r>
          </w:p>
        </w:tc>
        <w:tc>
          <w:tcPr>
            <w:tcW w:w="6482" w:type="dxa"/>
          </w:tcPr>
          <w:p w14:paraId="30D3AE0A">
            <w:pPr>
              <w:pStyle w:val="4"/>
            </w:pPr>
            <w:r>
              <w:t>加固后梁截面宽度；</w:t>
            </w:r>
          </w:p>
        </w:tc>
      </w:tr>
      <w:tr w14:paraId="2CC77F29">
        <w:tblPrEx>
          <w:tblCellMar>
            <w:top w:w="0" w:type="dxa"/>
            <w:left w:w="108" w:type="dxa"/>
            <w:bottom w:w="0" w:type="dxa"/>
            <w:right w:w="108" w:type="dxa"/>
          </w:tblCellMar>
        </w:tblPrEx>
        <w:tc>
          <w:tcPr>
            <w:tcW w:w="1452" w:type="dxa"/>
          </w:tcPr>
          <w:p w14:paraId="00FE1D95">
            <w:pPr>
              <w:pStyle w:val="4"/>
              <w:jc w:val="right"/>
            </w:pPr>
            <w:r>
              <w:object>
                <v:shape id="_x0000_i1218" o:spt="75" type="#_x0000_t75" style="height:16.65pt;width:12.35pt;" o:ole="t" filled="f" o:preferrelative="t" stroked="f" coordsize="21600,21600">
                  <v:path/>
                  <v:fill on="f" focussize="0,0"/>
                  <v:stroke on="f" joinstyle="miter"/>
                  <v:imagedata r:id="rId294" o:title=""/>
                  <o:lock v:ext="edit" aspectratio="t"/>
                  <w10:wrap type="none"/>
                  <w10:anchorlock/>
                </v:shape>
                <o:OLEObject Type="Embed" ProgID="Equation.DSMT4" ShapeID="_x0000_i1218" DrawAspect="Content" ObjectID="_1468075916" r:id="rId385">
                  <o:LockedField>false</o:LockedField>
                </o:OLEObject>
              </w:object>
            </w:r>
            <w:r>
              <w:t>——</w:t>
            </w:r>
          </w:p>
        </w:tc>
        <w:tc>
          <w:tcPr>
            <w:tcW w:w="6482" w:type="dxa"/>
          </w:tcPr>
          <w:p w14:paraId="2FC17C3A">
            <w:pPr>
              <w:pStyle w:val="4"/>
            </w:pPr>
            <w:r>
              <w:t>加固前梁截面宽度。</w:t>
            </w:r>
          </w:p>
        </w:tc>
      </w:tr>
    </w:tbl>
    <w:p w14:paraId="7C660ED0">
      <w:pPr>
        <w:pStyle w:val="4"/>
      </w:pPr>
      <w:r>
        <w:rPr>
          <w:b/>
        </w:rPr>
        <w:t>6.3.2</w:t>
      </w:r>
      <w:r>
        <w:t xml:space="preserve">  当</w:t>
      </w:r>
      <w:r>
        <w:rPr>
          <w:rFonts w:hint="eastAsia"/>
        </w:rPr>
        <w:t>采用配筋高延性混凝土面层加固法</w:t>
      </w:r>
      <w:r>
        <w:t>三面围套加固梁构件（图6.3.2），并采用加锚式或胶锚式箍筋时，其斜截面受剪承载力应符合下列规定：</w:t>
      </w:r>
    </w:p>
    <w:p w14:paraId="4FAB6044">
      <w:pPr>
        <w:tabs>
          <w:tab w:val="left" w:pos="2565"/>
        </w:tabs>
        <w:spacing w:after="312" w:line="312" w:lineRule="auto"/>
        <w:ind w:right="210" w:firstLine="420"/>
        <w:jc w:val="left"/>
      </w:pPr>
      <w:r>
        <w:rPr>
          <w:position w:val="-28"/>
        </w:rPr>
        <w:object>
          <v:shape id="_x0000_i1219" o:spt="75" type="#_x0000_t75" style="height:40.3pt;width:327.2pt;" o:ole="t" filled="f" o:preferrelative="t" stroked="f" coordsize="21600,21600">
            <v:path/>
            <v:fill on="f" focussize="0,0"/>
            <v:stroke on="f" joinstyle="miter"/>
            <v:imagedata r:id="rId387" o:title=""/>
            <o:lock v:ext="edit" aspectratio="t"/>
            <w10:wrap type="none"/>
            <w10:anchorlock/>
          </v:shape>
          <o:OLEObject Type="Embed" ProgID="Equation.DSMT4" ShapeID="_x0000_i1219" DrawAspect="Content" ObjectID="_1468075917" r:id="rId386">
            <o:LockedField>false</o:LockedField>
          </o:OLEObject>
        </w:object>
      </w:r>
      <w:r>
        <w:rPr>
          <w:rFonts w:hint="eastAsia"/>
        </w:rPr>
        <w:t xml:space="preserve"> </w:t>
      </w:r>
    </w:p>
    <w:p w14:paraId="72532B9F">
      <w:pPr>
        <w:tabs>
          <w:tab w:val="left" w:pos="2565"/>
        </w:tabs>
        <w:spacing w:after="312" w:line="312" w:lineRule="auto"/>
        <w:ind w:right="210" w:firstLine="560"/>
        <w:jc w:val="right"/>
      </w:pPr>
      <w:r>
        <w:rPr>
          <w:rFonts w:cs="Times New Roman"/>
          <w:sz w:val="28"/>
          <w:szCs w:val="28"/>
        </w:rPr>
        <w:t>（6.3.2）</w:t>
      </w:r>
    </w:p>
    <w:p w14:paraId="7BBD6420">
      <w:pPr>
        <w:tabs>
          <w:tab w:val="left" w:pos="2565"/>
        </w:tabs>
        <w:spacing w:after="312" w:line="312" w:lineRule="auto"/>
        <w:ind w:firstLine="420"/>
        <w:jc w:val="center"/>
      </w:pPr>
    </w:p>
    <w:p w14:paraId="2BB71916">
      <w:pPr>
        <w:pStyle w:val="55"/>
        <w:spacing w:before="31" w:after="31"/>
      </w:pPr>
      <w:r>
        <w:drawing>
          <wp:inline distT="0" distB="0" distL="114300" distR="114300">
            <wp:extent cx="2971165" cy="2124075"/>
            <wp:effectExtent l="0" t="0" r="635" b="9525"/>
            <wp:docPr id="10"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9"/>
                    <pic:cNvPicPr>
                      <a:picLocks noChangeAspect="1"/>
                    </pic:cNvPicPr>
                  </pic:nvPicPr>
                  <pic:blipFill>
                    <a:blip r:embed="rId388"/>
                    <a:stretch>
                      <a:fillRect/>
                    </a:stretch>
                  </pic:blipFill>
                  <pic:spPr>
                    <a:xfrm>
                      <a:off x="0" y="0"/>
                      <a:ext cx="2971165" cy="2124075"/>
                    </a:xfrm>
                    <a:prstGeom prst="rect">
                      <a:avLst/>
                    </a:prstGeom>
                    <a:noFill/>
                    <a:ln>
                      <a:noFill/>
                    </a:ln>
                  </pic:spPr>
                </pic:pic>
              </a:graphicData>
            </a:graphic>
          </wp:inline>
        </w:drawing>
      </w:r>
    </w:p>
    <w:p w14:paraId="2A4A2567">
      <w:pPr>
        <w:pStyle w:val="55"/>
        <w:spacing w:before="31" w:after="31"/>
        <w:rPr>
          <w:rFonts w:cs="Times New Roman"/>
          <w:szCs w:val="21"/>
        </w:rPr>
      </w:pPr>
      <w:r>
        <w:rPr>
          <w:rFonts w:cs="Times New Roman"/>
          <w:szCs w:val="21"/>
        </w:rPr>
        <w:t>图6.3.2 高延性混凝土三面围套加固钢筋混凝土受弯构件示意图</w:t>
      </w:r>
    </w:p>
    <w:p w14:paraId="7989B409">
      <w:pPr>
        <w:pStyle w:val="55"/>
        <w:spacing w:before="31" w:after="31"/>
        <w:rPr>
          <w:rFonts w:cs="Times New Roman"/>
          <w:szCs w:val="21"/>
        </w:rPr>
      </w:pPr>
      <w:r>
        <w:rPr>
          <w:rFonts w:hint="eastAsia" w:cs="Times New Roman"/>
          <w:szCs w:val="21"/>
        </w:rPr>
        <w:t>原有纵筋；2-原有箍筋；3-新增纵筋；4-新增箍筋</w:t>
      </w:r>
    </w:p>
    <w:tbl>
      <w:tblPr>
        <w:tblStyle w:val="28"/>
        <w:tblW w:w="7933" w:type="dxa"/>
        <w:tblInd w:w="111" w:type="dxa"/>
        <w:tblLayout w:type="fixed"/>
        <w:tblCellMar>
          <w:top w:w="0" w:type="dxa"/>
          <w:left w:w="108" w:type="dxa"/>
          <w:bottom w:w="0" w:type="dxa"/>
          <w:right w:w="108" w:type="dxa"/>
        </w:tblCellMar>
      </w:tblPr>
      <w:tblGrid>
        <w:gridCol w:w="1474"/>
        <w:gridCol w:w="6459"/>
      </w:tblGrid>
      <w:tr w14:paraId="251682FF">
        <w:tblPrEx>
          <w:tblCellMar>
            <w:top w:w="0" w:type="dxa"/>
            <w:left w:w="108" w:type="dxa"/>
            <w:bottom w:w="0" w:type="dxa"/>
            <w:right w:w="108" w:type="dxa"/>
          </w:tblCellMar>
        </w:tblPrEx>
        <w:trPr>
          <w:trHeight w:val="454" w:hRule="atLeast"/>
        </w:trPr>
        <w:tc>
          <w:tcPr>
            <w:tcW w:w="1474" w:type="dxa"/>
          </w:tcPr>
          <w:p w14:paraId="71E42FD7">
            <w:pPr>
              <w:pStyle w:val="55"/>
              <w:spacing w:before="31" w:after="31"/>
            </w:pPr>
            <w:r>
              <w:t>式中：</w:t>
            </w:r>
          </w:p>
        </w:tc>
        <w:tc>
          <w:tcPr>
            <w:tcW w:w="6459" w:type="dxa"/>
            <w:tcMar>
              <w:left w:w="0" w:type="dxa"/>
            </w:tcMar>
            <w:vAlign w:val="center"/>
          </w:tcPr>
          <w:p w14:paraId="5A0C4DEE">
            <w:pPr>
              <w:pStyle w:val="55"/>
              <w:spacing w:before="31" w:after="31"/>
            </w:pPr>
          </w:p>
        </w:tc>
      </w:tr>
      <w:tr w14:paraId="7EA0A596">
        <w:tblPrEx>
          <w:tblCellMar>
            <w:top w:w="0" w:type="dxa"/>
            <w:left w:w="108" w:type="dxa"/>
            <w:bottom w:w="0" w:type="dxa"/>
            <w:right w:w="108" w:type="dxa"/>
          </w:tblCellMar>
        </w:tblPrEx>
        <w:trPr>
          <w:trHeight w:val="454" w:hRule="atLeast"/>
        </w:trPr>
        <w:tc>
          <w:tcPr>
            <w:tcW w:w="1474" w:type="dxa"/>
          </w:tcPr>
          <w:p w14:paraId="6BAC3AD0">
            <w:pPr>
              <w:pStyle w:val="55"/>
              <w:spacing w:before="31" w:after="31"/>
            </w:pPr>
            <w:r>
              <w:rPr>
                <w:position w:val="-10"/>
              </w:rPr>
              <w:object>
                <v:shape id="_x0000_i1220" o:spt="75" type="#_x0000_t75" style="height:19.9pt;width:19.9pt;" o:ole="t" filled="f" o:preferrelative="t" stroked="f" coordsize="21600,21600">
                  <v:path/>
                  <v:fill on="f" focussize="0,0"/>
                  <v:stroke on="f" joinstyle="miter"/>
                  <v:imagedata r:id="rId390" o:title=""/>
                  <o:lock v:ext="edit" aspectratio="t"/>
                  <w10:wrap type="none"/>
                  <w10:anchorlock/>
                </v:shape>
                <o:OLEObject Type="Embed" ProgID="Equation.DSMT4" ShapeID="_x0000_i1220" DrawAspect="Content" ObjectID="_1468075918" r:id="rId389">
                  <o:LockedField>false</o:LockedField>
                </o:OLEObject>
              </w:object>
            </w:r>
            <w:r>
              <w:t>——</w:t>
            </w:r>
          </w:p>
        </w:tc>
        <w:tc>
          <w:tcPr>
            <w:tcW w:w="6459" w:type="dxa"/>
            <w:tcMar>
              <w:left w:w="0" w:type="dxa"/>
            </w:tcMar>
            <w:vAlign w:val="center"/>
          </w:tcPr>
          <w:p w14:paraId="49593705">
            <w:pPr>
              <w:pStyle w:val="55"/>
              <w:spacing w:before="31" w:after="31"/>
              <w:jc w:val="left"/>
            </w:pPr>
            <w:r>
              <w:t>斜截面混凝土受剪承载力系数，按现行国家标准《混凝土结构设计规范》GB 50010规定取值；</w:t>
            </w:r>
          </w:p>
        </w:tc>
      </w:tr>
      <w:tr w14:paraId="134A30C9">
        <w:tblPrEx>
          <w:tblCellMar>
            <w:top w:w="0" w:type="dxa"/>
            <w:left w:w="108" w:type="dxa"/>
            <w:bottom w:w="0" w:type="dxa"/>
            <w:right w:w="108" w:type="dxa"/>
          </w:tblCellMar>
        </w:tblPrEx>
        <w:trPr>
          <w:trHeight w:val="454" w:hRule="atLeast"/>
        </w:trPr>
        <w:tc>
          <w:tcPr>
            <w:tcW w:w="1474" w:type="dxa"/>
          </w:tcPr>
          <w:p w14:paraId="73FD6579">
            <w:pPr>
              <w:pStyle w:val="55"/>
              <w:spacing w:before="31" w:after="31"/>
            </w:pPr>
            <w:r>
              <w:rPr>
                <w:i/>
                <w:position w:val="-10"/>
              </w:rPr>
              <w:object>
                <v:shape id="_x0000_i1221" o:spt="75" type="#_x0000_t75" style="height:19.9pt;width:19.9pt;" o:ole="t" filled="f" o:preferrelative="t" stroked="f" coordsize="21600,21600">
                  <v:path/>
                  <v:fill on="f" focussize="0,0"/>
                  <v:stroke on="f" joinstyle="miter"/>
                  <v:imagedata r:id="rId392" o:title=""/>
                  <o:lock v:ext="edit" aspectratio="t"/>
                  <w10:wrap type="none"/>
                  <w10:anchorlock/>
                </v:shape>
                <o:OLEObject Type="Embed" ProgID="Equation.DSMT4" ShapeID="_x0000_i1221" DrawAspect="Content" ObjectID="_1468075919" r:id="rId391">
                  <o:LockedField>false</o:LockedField>
                </o:OLEObject>
              </w:object>
            </w:r>
            <w:r>
              <w:t>——</w:t>
            </w:r>
          </w:p>
        </w:tc>
        <w:tc>
          <w:tcPr>
            <w:tcW w:w="6459" w:type="dxa"/>
            <w:tcMar>
              <w:left w:w="0" w:type="dxa"/>
            </w:tcMar>
            <w:vAlign w:val="center"/>
          </w:tcPr>
          <w:p w14:paraId="5B2AC812">
            <w:pPr>
              <w:pStyle w:val="55"/>
              <w:spacing w:before="31" w:after="31"/>
              <w:jc w:val="left"/>
            </w:pPr>
            <w:r>
              <w:t>原构件混凝土轴心抗拉强度设计值；</w:t>
            </w:r>
          </w:p>
        </w:tc>
      </w:tr>
      <w:tr w14:paraId="492FFFC3">
        <w:tblPrEx>
          <w:tblCellMar>
            <w:top w:w="0" w:type="dxa"/>
            <w:left w:w="108" w:type="dxa"/>
            <w:bottom w:w="0" w:type="dxa"/>
            <w:right w:w="108" w:type="dxa"/>
          </w:tblCellMar>
        </w:tblPrEx>
        <w:trPr>
          <w:trHeight w:val="454" w:hRule="atLeast"/>
        </w:trPr>
        <w:tc>
          <w:tcPr>
            <w:tcW w:w="1474" w:type="dxa"/>
          </w:tcPr>
          <w:p w14:paraId="203E451F">
            <w:pPr>
              <w:pStyle w:val="55"/>
              <w:spacing w:before="31" w:after="31"/>
            </w:pPr>
            <w:r>
              <w:rPr>
                <w:position w:val="-10"/>
              </w:rPr>
              <w:object>
                <v:shape id="_x0000_i1222" o:spt="75" type="#_x0000_t75" style="height:19.9pt;width:19.9pt;" o:ole="t" filled="f" o:preferrelative="t" stroked="f" coordsize="21600,21600">
                  <v:path/>
                  <v:fill on="f" focussize="0,0"/>
                  <v:stroke on="f" joinstyle="miter"/>
                  <v:imagedata r:id="rId394" o:title=""/>
                  <o:lock v:ext="edit" aspectratio="t"/>
                  <w10:wrap type="none"/>
                  <w10:anchorlock/>
                </v:shape>
                <o:OLEObject Type="Embed" ProgID="Equation.DSMT4" ShapeID="_x0000_i1222" DrawAspect="Content" ObjectID="_1468075920" r:id="rId393">
                  <o:LockedField>false</o:LockedField>
                </o:OLEObject>
              </w:object>
            </w:r>
            <w:r>
              <w:t>——</w:t>
            </w:r>
          </w:p>
        </w:tc>
        <w:tc>
          <w:tcPr>
            <w:tcW w:w="6459" w:type="dxa"/>
            <w:tcMar>
              <w:left w:w="0" w:type="dxa"/>
            </w:tcMar>
            <w:vAlign w:val="center"/>
          </w:tcPr>
          <w:p w14:paraId="0FEE6F49">
            <w:pPr>
              <w:pStyle w:val="55"/>
              <w:spacing w:before="31" w:after="31"/>
              <w:jc w:val="left"/>
            </w:pPr>
            <w:r>
              <w:t>加固前截面有效高度；</w:t>
            </w:r>
          </w:p>
        </w:tc>
      </w:tr>
      <w:tr w14:paraId="4721EE4E">
        <w:tblPrEx>
          <w:tblCellMar>
            <w:top w:w="0" w:type="dxa"/>
            <w:left w:w="108" w:type="dxa"/>
            <w:bottom w:w="0" w:type="dxa"/>
            <w:right w:w="108" w:type="dxa"/>
          </w:tblCellMar>
        </w:tblPrEx>
        <w:trPr>
          <w:trHeight w:val="454" w:hRule="atLeast"/>
        </w:trPr>
        <w:tc>
          <w:tcPr>
            <w:tcW w:w="1474" w:type="dxa"/>
          </w:tcPr>
          <w:p w14:paraId="5173B72D">
            <w:pPr>
              <w:pStyle w:val="55"/>
              <w:spacing w:before="31" w:after="31"/>
            </w:pPr>
            <w:r>
              <w:rPr>
                <w:position w:val="-10"/>
              </w:rPr>
              <w:object>
                <v:shape id="_x0000_i1223" o:spt="75" type="#_x0000_t75" style="height:19.9pt;width:19.9pt;" o:ole="t" filled="f" o:preferrelative="t" stroked="f" coordsize="21600,21600">
                  <v:path/>
                  <v:fill on="f" focussize="0,0"/>
                  <v:stroke on="f" joinstyle="miter"/>
                  <v:imagedata r:id="rId310" o:title=""/>
                  <o:lock v:ext="edit" aspectratio="t"/>
                  <w10:wrap type="none"/>
                  <w10:anchorlock/>
                </v:shape>
                <o:OLEObject Type="Embed" ProgID="Equation.DSMT4" ShapeID="_x0000_i1223" DrawAspect="Content" ObjectID="_1468075921" r:id="rId395">
                  <o:LockedField>false</o:LockedField>
                </o:OLEObject>
              </w:object>
            </w:r>
            <w:r>
              <w:t>——</w:t>
            </w:r>
          </w:p>
        </w:tc>
        <w:tc>
          <w:tcPr>
            <w:tcW w:w="6459" w:type="dxa"/>
            <w:vAlign w:val="center"/>
          </w:tcPr>
          <w:p w14:paraId="5F47234B">
            <w:pPr>
              <w:pStyle w:val="55"/>
              <w:spacing w:before="31" w:after="31"/>
              <w:jc w:val="left"/>
            </w:pPr>
            <w:r>
              <w:t>高延性混凝土面层的强度利用系数，抗剪加固混凝土梁时，可取</w:t>
            </w:r>
            <w:r>
              <w:rPr>
                <w:position w:val="-10"/>
              </w:rPr>
              <w:object>
                <v:shape id="_x0000_i1224" o:spt="75" type="#_x0000_t75" style="height:19.9pt;width:52.65pt;" o:ole="t" filled="f" o:preferrelative="t" stroked="f" coordsize="21600,21600">
                  <v:path/>
                  <v:fill on="f" focussize="0,0"/>
                  <v:stroke on="f" joinstyle="miter"/>
                  <v:imagedata r:id="rId312" o:title=""/>
                  <o:lock v:ext="edit" aspectratio="t"/>
                  <w10:wrap type="none"/>
                  <w10:anchorlock/>
                </v:shape>
                <o:OLEObject Type="Embed" ProgID="Equation.DSMT4" ShapeID="_x0000_i1224" DrawAspect="Content" ObjectID="_1468075922" r:id="rId396">
                  <o:LockedField>false</o:LockedField>
                </o:OLEObject>
              </w:object>
            </w:r>
            <w:r>
              <w:t xml:space="preserve">； </w:t>
            </w:r>
          </w:p>
        </w:tc>
      </w:tr>
      <w:tr w14:paraId="1128294C">
        <w:tblPrEx>
          <w:tblCellMar>
            <w:top w:w="0" w:type="dxa"/>
            <w:left w:w="108" w:type="dxa"/>
            <w:bottom w:w="0" w:type="dxa"/>
            <w:right w:w="108" w:type="dxa"/>
          </w:tblCellMar>
        </w:tblPrEx>
        <w:trPr>
          <w:trHeight w:val="454" w:hRule="atLeast"/>
        </w:trPr>
        <w:tc>
          <w:tcPr>
            <w:tcW w:w="1474" w:type="dxa"/>
          </w:tcPr>
          <w:p w14:paraId="7BBFFC0D">
            <w:pPr>
              <w:pStyle w:val="55"/>
              <w:spacing w:before="31" w:after="31"/>
            </w:pPr>
            <w:r>
              <w:rPr>
                <w:position w:val="-10"/>
              </w:rPr>
              <w:object>
                <v:shape id="_x0000_i1225" o:spt="75" type="#_x0000_t75" style="height:19.9pt;width:19.9pt;" o:ole="t" filled="f" o:preferrelative="t" stroked="f" coordsize="21600,21600">
                  <v:path/>
                  <v:fill on="f" focussize="0,0"/>
                  <v:stroke on="f" joinstyle="miter"/>
                  <v:imagedata r:id="rId398" o:title=""/>
                  <o:lock v:ext="edit" aspectratio="t"/>
                  <w10:wrap type="none"/>
                  <w10:anchorlock/>
                </v:shape>
                <o:OLEObject Type="Embed" ProgID="Equation.DSMT4" ShapeID="_x0000_i1225" DrawAspect="Content" ObjectID="_1468075923" r:id="rId397">
                  <o:LockedField>false</o:LockedField>
                </o:OLEObject>
              </w:object>
            </w:r>
            <w:r>
              <w:t>——</w:t>
            </w:r>
          </w:p>
        </w:tc>
        <w:tc>
          <w:tcPr>
            <w:tcW w:w="6459" w:type="dxa"/>
            <w:tcMar>
              <w:left w:w="0" w:type="dxa"/>
            </w:tcMar>
            <w:vAlign w:val="center"/>
          </w:tcPr>
          <w:p w14:paraId="0F357723">
            <w:pPr>
              <w:pStyle w:val="55"/>
              <w:spacing w:before="31" w:after="31"/>
              <w:jc w:val="left"/>
            </w:pPr>
            <w:r>
              <w:t>加固后截面有效高度；</w:t>
            </w:r>
          </w:p>
        </w:tc>
      </w:tr>
      <w:tr w14:paraId="6F271B03">
        <w:tblPrEx>
          <w:tblCellMar>
            <w:top w:w="0" w:type="dxa"/>
            <w:left w:w="108" w:type="dxa"/>
            <w:bottom w:w="0" w:type="dxa"/>
            <w:right w:w="108" w:type="dxa"/>
          </w:tblCellMar>
        </w:tblPrEx>
        <w:trPr>
          <w:trHeight w:val="454" w:hRule="atLeast"/>
        </w:trPr>
        <w:tc>
          <w:tcPr>
            <w:tcW w:w="1474" w:type="dxa"/>
          </w:tcPr>
          <w:p w14:paraId="4CC50932">
            <w:pPr>
              <w:pStyle w:val="55"/>
              <w:spacing w:before="31" w:after="31"/>
            </w:pPr>
            <w:r>
              <w:rPr>
                <w:position w:val="-14"/>
              </w:rPr>
              <w:object>
                <v:shape id="_x0000_i1226" o:spt="75" type="#_x0000_t75" style="height:23.65pt;width:23.65pt;" o:ole="t" filled="f" o:preferrelative="t" stroked="f" coordsize="21600,21600">
                  <v:path/>
                  <v:fill on="f" focussize="0,0"/>
                  <v:stroke on="f" joinstyle="miter"/>
                  <v:imagedata r:id="rId400" o:title=""/>
                  <o:lock v:ext="edit" aspectratio="t"/>
                  <w10:wrap type="none"/>
                  <w10:anchorlock/>
                </v:shape>
                <o:OLEObject Type="Embed" ProgID="Equation.DSMT4" ShapeID="_x0000_i1226" DrawAspect="Content" ObjectID="_1468075924" r:id="rId399">
                  <o:LockedField>false</o:LockedField>
                </o:OLEObject>
              </w:object>
            </w:r>
            <w:r>
              <w:t>——</w:t>
            </w:r>
          </w:p>
        </w:tc>
        <w:tc>
          <w:tcPr>
            <w:tcW w:w="6459" w:type="dxa"/>
            <w:tcMar>
              <w:left w:w="0" w:type="dxa"/>
            </w:tcMar>
            <w:vAlign w:val="center"/>
          </w:tcPr>
          <w:p w14:paraId="3DFEB308">
            <w:pPr>
              <w:pStyle w:val="55"/>
              <w:spacing w:before="31" w:after="31"/>
              <w:jc w:val="left"/>
            </w:pPr>
            <w:r>
              <w:t>原箍筋的抗拉强度设计值；</w:t>
            </w:r>
          </w:p>
        </w:tc>
      </w:tr>
      <w:tr w14:paraId="03B819E0">
        <w:tblPrEx>
          <w:tblCellMar>
            <w:top w:w="0" w:type="dxa"/>
            <w:left w:w="108" w:type="dxa"/>
            <w:bottom w:w="0" w:type="dxa"/>
            <w:right w:w="108" w:type="dxa"/>
          </w:tblCellMar>
        </w:tblPrEx>
        <w:trPr>
          <w:trHeight w:val="454" w:hRule="atLeast"/>
        </w:trPr>
        <w:tc>
          <w:tcPr>
            <w:tcW w:w="1474" w:type="dxa"/>
          </w:tcPr>
          <w:p w14:paraId="4A442B83">
            <w:pPr>
              <w:pStyle w:val="55"/>
              <w:spacing w:before="31" w:after="31"/>
              <w:rPr>
                <w:i/>
              </w:rPr>
            </w:pPr>
            <w:r>
              <w:rPr>
                <w:i/>
                <w:position w:val="-10"/>
              </w:rPr>
              <w:object>
                <v:shape id="_x0000_i1227" o:spt="75" type="#_x0000_t75" style="height:19.9pt;width:15.05pt;" o:ole="t" filled="f" o:preferrelative="t" stroked="f" coordsize="21600,21600">
                  <v:path/>
                  <v:fill on="f" focussize="0,0"/>
                  <v:stroke on="f" joinstyle="miter"/>
                  <v:imagedata r:id="rId402" o:title=""/>
                  <o:lock v:ext="edit" aspectratio="t"/>
                  <w10:wrap type="none"/>
                  <w10:anchorlock/>
                </v:shape>
                <o:OLEObject Type="Embed" ProgID="Equation.DSMT4" ShapeID="_x0000_i1227" DrawAspect="Content" ObjectID="_1468075925" r:id="rId401">
                  <o:LockedField>false</o:LockedField>
                </o:OLEObject>
              </w:object>
            </w:r>
            <w:r>
              <w:t>——</w:t>
            </w:r>
          </w:p>
        </w:tc>
        <w:tc>
          <w:tcPr>
            <w:tcW w:w="6459" w:type="dxa"/>
            <w:tcMar>
              <w:left w:w="0" w:type="dxa"/>
            </w:tcMar>
            <w:vAlign w:val="center"/>
          </w:tcPr>
          <w:p w14:paraId="3446304F">
            <w:pPr>
              <w:pStyle w:val="55"/>
              <w:spacing w:before="31" w:after="31"/>
              <w:jc w:val="left"/>
            </w:pPr>
            <w:r>
              <w:t>构件两侧高延性混凝土面层的总截面面积，此时</w:t>
            </w:r>
            <w:r>
              <w:rPr>
                <w:i/>
                <w:position w:val="-12"/>
              </w:rPr>
              <w:object>
                <v:shape id="_x0000_i1228" o:spt="75" type="#_x0000_t75" style="height:23.65pt;width:62.85pt;" o:ole="t" filled="f" o:preferrelative="t" stroked="f" coordsize="21600,21600">
                  <v:path/>
                  <v:fill on="f" focussize="0,0"/>
                  <v:stroke on="f" joinstyle="miter"/>
                  <v:imagedata r:id="rId404" o:title=""/>
                  <o:lock v:ext="edit" aspectratio="t"/>
                  <w10:wrap type="none"/>
                  <w10:anchorlock/>
                </v:shape>
                <o:OLEObject Type="Embed" ProgID="Equation.3" ShapeID="_x0000_i1228" DrawAspect="Content" ObjectID="_1468075926" r:id="rId403">
                  <o:LockedField>false</o:LockedField>
                </o:OLEObject>
              </w:object>
            </w:r>
            <w:r>
              <w:t>；</w:t>
            </w:r>
          </w:p>
        </w:tc>
      </w:tr>
      <w:tr w14:paraId="6667CC3F">
        <w:tblPrEx>
          <w:tblCellMar>
            <w:top w:w="0" w:type="dxa"/>
            <w:left w:w="108" w:type="dxa"/>
            <w:bottom w:w="0" w:type="dxa"/>
            <w:right w:w="108" w:type="dxa"/>
          </w:tblCellMar>
        </w:tblPrEx>
        <w:trPr>
          <w:trHeight w:val="454" w:hRule="atLeast"/>
        </w:trPr>
        <w:tc>
          <w:tcPr>
            <w:tcW w:w="1474" w:type="dxa"/>
          </w:tcPr>
          <w:p w14:paraId="48C54B50">
            <w:pPr>
              <w:pStyle w:val="55"/>
              <w:spacing w:before="31" w:after="31"/>
            </w:pPr>
            <w:r>
              <w:rPr>
                <w:i/>
                <w:position w:val="-10"/>
              </w:rPr>
              <w:object>
                <v:shape id="_x0000_i1229" o:spt="75" type="#_x0000_t75" style="height:19.9pt;width:23.65pt;" o:ole="t" filled="f" o:preferrelative="t" stroked="f" coordsize="21600,21600">
                  <v:path/>
                  <v:fill on="f" focussize="0,0"/>
                  <v:stroke on="f" joinstyle="miter"/>
                  <v:imagedata r:id="rId406" o:title=""/>
                  <o:lock v:ext="edit" aspectratio="t"/>
                  <w10:wrap type="none"/>
                  <w10:anchorlock/>
                </v:shape>
                <o:OLEObject Type="Embed" ProgID="Equation.DSMT4" ShapeID="_x0000_i1229" DrawAspect="Content" ObjectID="_1468075927" r:id="rId405">
                  <o:LockedField>false</o:LockedField>
                </o:OLEObject>
              </w:object>
            </w:r>
            <w:r>
              <w:t>——</w:t>
            </w:r>
          </w:p>
        </w:tc>
        <w:tc>
          <w:tcPr>
            <w:tcW w:w="6459" w:type="dxa"/>
            <w:tcMar>
              <w:left w:w="0" w:type="dxa"/>
            </w:tcMar>
            <w:vAlign w:val="center"/>
          </w:tcPr>
          <w:p w14:paraId="53E72AF5">
            <w:pPr>
              <w:pStyle w:val="55"/>
              <w:spacing w:before="31" w:after="31"/>
              <w:jc w:val="left"/>
            </w:pPr>
            <w:r>
              <w:t>同一截面内原箍筋的各肢截面面积之和；</w:t>
            </w:r>
          </w:p>
        </w:tc>
      </w:tr>
      <w:tr w14:paraId="38B987FA">
        <w:tblPrEx>
          <w:tblCellMar>
            <w:top w:w="0" w:type="dxa"/>
            <w:left w:w="108" w:type="dxa"/>
            <w:bottom w:w="0" w:type="dxa"/>
            <w:right w:w="108" w:type="dxa"/>
          </w:tblCellMar>
        </w:tblPrEx>
        <w:trPr>
          <w:trHeight w:val="454" w:hRule="atLeast"/>
        </w:trPr>
        <w:tc>
          <w:tcPr>
            <w:tcW w:w="1474" w:type="dxa"/>
          </w:tcPr>
          <w:p w14:paraId="37138586">
            <w:pPr>
              <w:pStyle w:val="55"/>
              <w:spacing w:before="31" w:after="31"/>
              <w:rPr>
                <w:i/>
              </w:rPr>
            </w:pPr>
            <w:r>
              <w:rPr>
                <w:i/>
                <w:position w:val="-10"/>
              </w:rPr>
              <w:object>
                <v:shape id="_x0000_i1230" o:spt="75" type="#_x0000_t75" style="height:19.9pt;width:16.1pt;" o:ole="t" filled="f" o:preferrelative="t" stroked="f" coordsize="21600,21600">
                  <v:path/>
                  <v:fill on="f" focussize="0,0"/>
                  <v:stroke on="f" joinstyle="miter"/>
                  <v:imagedata r:id="rId408" o:title=""/>
                  <o:lock v:ext="edit" aspectratio="t"/>
                  <w10:wrap type="none"/>
                  <w10:anchorlock/>
                </v:shape>
                <o:OLEObject Type="Embed" ProgID="Equation.DSMT4" ShapeID="_x0000_i1230" DrawAspect="Content" ObjectID="_1468075928" r:id="rId407">
                  <o:LockedField>false</o:LockedField>
                </o:OLEObject>
              </w:object>
            </w:r>
            <w:r>
              <w:t>——</w:t>
            </w:r>
          </w:p>
        </w:tc>
        <w:tc>
          <w:tcPr>
            <w:tcW w:w="6459" w:type="dxa"/>
            <w:tcMar>
              <w:left w:w="0" w:type="dxa"/>
            </w:tcMar>
            <w:vAlign w:val="center"/>
          </w:tcPr>
          <w:p w14:paraId="02F62A18">
            <w:pPr>
              <w:pStyle w:val="55"/>
              <w:spacing w:before="31" w:after="31"/>
              <w:jc w:val="left"/>
            </w:pPr>
            <w:r>
              <w:t>原箍筋沿构件长度方向的间距；</w:t>
            </w:r>
          </w:p>
        </w:tc>
      </w:tr>
      <w:tr w14:paraId="65CE8A0B">
        <w:tblPrEx>
          <w:tblCellMar>
            <w:top w:w="0" w:type="dxa"/>
            <w:left w:w="108" w:type="dxa"/>
            <w:bottom w:w="0" w:type="dxa"/>
            <w:right w:w="108" w:type="dxa"/>
          </w:tblCellMar>
        </w:tblPrEx>
        <w:trPr>
          <w:trHeight w:val="454" w:hRule="atLeast"/>
        </w:trPr>
        <w:tc>
          <w:tcPr>
            <w:tcW w:w="1474" w:type="dxa"/>
          </w:tcPr>
          <w:p w14:paraId="40A25093">
            <w:pPr>
              <w:pStyle w:val="55"/>
              <w:spacing w:before="31" w:after="31"/>
            </w:pPr>
            <w:r>
              <w:rPr>
                <w:position w:val="-10"/>
              </w:rPr>
              <w:object>
                <v:shape id="_x0000_i1231" o:spt="75" type="#_x0000_t75" style="height:19.9pt;width:13.45pt;" o:ole="t" filled="f" o:preferrelative="t" stroked="f" coordsize="21600,21600">
                  <v:path/>
                  <v:fill on="f" focussize="0,0"/>
                  <v:stroke on="f" joinstyle="miter"/>
                  <v:imagedata r:id="rId318" o:title=""/>
                  <o:lock v:ext="edit" aspectratio="t"/>
                  <w10:wrap type="none"/>
                  <w10:anchorlock/>
                </v:shape>
                <o:OLEObject Type="Embed" ProgID="Equation.DSMT4" ShapeID="_x0000_i1231" DrawAspect="Content" ObjectID="_1468075929" r:id="rId409">
                  <o:LockedField>false</o:LockedField>
                </o:OLEObject>
              </w:object>
            </w:r>
            <w:r>
              <w:t>——</w:t>
            </w:r>
          </w:p>
        </w:tc>
        <w:tc>
          <w:tcPr>
            <w:tcW w:w="6459" w:type="dxa"/>
            <w:tcMar>
              <w:left w:w="0" w:type="dxa"/>
            </w:tcMar>
            <w:vAlign w:val="center"/>
          </w:tcPr>
          <w:p w14:paraId="2DF9DE36">
            <w:pPr>
              <w:pStyle w:val="55"/>
              <w:spacing w:before="31" w:after="31"/>
              <w:jc w:val="left"/>
            </w:pPr>
            <w:r>
              <w:t>新增箍筋的强度利用系数，可取</w:t>
            </w:r>
            <w:r>
              <w:rPr>
                <w:position w:val="-10"/>
              </w:rPr>
              <w:object>
                <v:shape id="_x0000_i1232" o:spt="75" type="#_x0000_t75" style="height:19.9pt;width:13.45pt;" o:ole="t" filled="f" o:preferrelative="t" stroked="f" coordsize="21600,21600">
                  <v:path/>
                  <v:fill on="f" focussize="0,0"/>
                  <v:stroke on="f" joinstyle="miter"/>
                  <v:imagedata r:id="rId411" o:title=""/>
                  <o:lock v:ext="edit" aspectratio="t"/>
                  <w10:wrap type="none"/>
                  <w10:anchorlock/>
                </v:shape>
                <o:OLEObject Type="Embed" ProgID="Equation.DSMT4" ShapeID="_x0000_i1232" DrawAspect="Content" ObjectID="_1468075930" r:id="rId410">
                  <o:LockedField>false</o:LockedField>
                </o:OLEObject>
              </w:object>
            </w:r>
            <w:r>
              <w:t>=0.9；</w:t>
            </w:r>
          </w:p>
        </w:tc>
      </w:tr>
      <w:tr w14:paraId="3C9C8497">
        <w:tblPrEx>
          <w:tblCellMar>
            <w:top w:w="0" w:type="dxa"/>
            <w:left w:w="108" w:type="dxa"/>
            <w:bottom w:w="0" w:type="dxa"/>
            <w:right w:w="108" w:type="dxa"/>
          </w:tblCellMar>
        </w:tblPrEx>
        <w:trPr>
          <w:trHeight w:val="454" w:hRule="atLeast"/>
        </w:trPr>
        <w:tc>
          <w:tcPr>
            <w:tcW w:w="1474" w:type="dxa"/>
          </w:tcPr>
          <w:p w14:paraId="3F92AC53">
            <w:pPr>
              <w:pStyle w:val="55"/>
              <w:spacing w:before="31" w:after="31"/>
            </w:pPr>
            <w:r>
              <w:rPr>
                <w:position w:val="-14"/>
              </w:rPr>
              <w:object>
                <v:shape id="_x0000_i1233" o:spt="75" type="#_x0000_t75" style="height:23.65pt;width:19.9pt;" o:ole="t" filled="f" o:preferrelative="t" stroked="f" coordsize="21600,21600">
                  <v:path/>
                  <v:fill on="f" focussize="0,0"/>
                  <v:stroke on="f" joinstyle="miter"/>
                  <v:imagedata r:id="rId413" o:title=""/>
                  <o:lock v:ext="edit" aspectratio="t"/>
                  <w10:wrap type="none"/>
                  <w10:anchorlock/>
                </v:shape>
                <o:OLEObject Type="Embed" ProgID="Equation.DSMT4" ShapeID="_x0000_i1233" DrawAspect="Content" ObjectID="_1468075931" r:id="rId412">
                  <o:LockedField>false</o:LockedField>
                </o:OLEObject>
              </w:object>
            </w:r>
            <w:r>
              <w:t>——</w:t>
            </w:r>
          </w:p>
        </w:tc>
        <w:tc>
          <w:tcPr>
            <w:tcW w:w="6459" w:type="dxa"/>
            <w:tcMar>
              <w:left w:w="0" w:type="dxa"/>
            </w:tcMar>
            <w:vAlign w:val="center"/>
          </w:tcPr>
          <w:p w14:paraId="78E9CE4E">
            <w:pPr>
              <w:pStyle w:val="55"/>
              <w:spacing w:before="31" w:after="31"/>
              <w:jc w:val="left"/>
            </w:pPr>
            <w:r>
              <w:t>新增箍筋的抗拉强度设计值；</w:t>
            </w:r>
          </w:p>
        </w:tc>
      </w:tr>
      <w:tr w14:paraId="429BF0EA">
        <w:tblPrEx>
          <w:tblCellMar>
            <w:top w:w="0" w:type="dxa"/>
            <w:left w:w="108" w:type="dxa"/>
            <w:bottom w:w="0" w:type="dxa"/>
            <w:right w:w="108" w:type="dxa"/>
          </w:tblCellMar>
        </w:tblPrEx>
        <w:trPr>
          <w:trHeight w:val="454" w:hRule="atLeast"/>
        </w:trPr>
        <w:tc>
          <w:tcPr>
            <w:tcW w:w="1474" w:type="dxa"/>
          </w:tcPr>
          <w:p w14:paraId="5B97713E">
            <w:pPr>
              <w:pStyle w:val="55"/>
              <w:spacing w:before="31" w:after="31"/>
            </w:pPr>
            <w:r>
              <w:rPr>
                <w:i/>
                <w:position w:val="-10"/>
              </w:rPr>
              <w:object>
                <v:shape id="_x0000_i1234" o:spt="75" type="#_x0000_t75" style="height:19.9pt;width:19.9pt;" o:ole="t" filled="f" o:preferrelative="t" stroked="f" coordsize="21600,21600">
                  <v:path/>
                  <v:fill on="f" focussize="0,0"/>
                  <v:stroke on="f" joinstyle="miter"/>
                  <v:imagedata r:id="rId415" o:title=""/>
                  <o:lock v:ext="edit" aspectratio="t"/>
                  <w10:wrap type="none"/>
                  <w10:anchorlock/>
                </v:shape>
                <o:OLEObject Type="Embed" ProgID="Equation.DSMT4" ShapeID="_x0000_i1234" DrawAspect="Content" ObjectID="_1468075932" r:id="rId414">
                  <o:LockedField>false</o:LockedField>
                </o:OLEObject>
              </w:object>
            </w:r>
            <w:r>
              <w:t>——</w:t>
            </w:r>
          </w:p>
        </w:tc>
        <w:tc>
          <w:tcPr>
            <w:tcW w:w="6459" w:type="dxa"/>
            <w:tcMar>
              <w:left w:w="0" w:type="dxa"/>
            </w:tcMar>
            <w:vAlign w:val="center"/>
          </w:tcPr>
          <w:p w14:paraId="5BE02FF0">
            <w:pPr>
              <w:pStyle w:val="55"/>
              <w:spacing w:before="31" w:after="31"/>
              <w:jc w:val="left"/>
            </w:pPr>
            <w:r>
              <w:t>同一截面内新增箍筋的各肢截面面积之和；</w:t>
            </w:r>
          </w:p>
        </w:tc>
      </w:tr>
      <w:tr w14:paraId="6A690AAF">
        <w:tblPrEx>
          <w:tblCellMar>
            <w:top w:w="0" w:type="dxa"/>
            <w:left w:w="108" w:type="dxa"/>
            <w:bottom w:w="0" w:type="dxa"/>
            <w:right w:w="108" w:type="dxa"/>
          </w:tblCellMar>
        </w:tblPrEx>
        <w:trPr>
          <w:trHeight w:val="454" w:hRule="atLeast"/>
        </w:trPr>
        <w:tc>
          <w:tcPr>
            <w:tcW w:w="1474" w:type="dxa"/>
          </w:tcPr>
          <w:p w14:paraId="73761BF8">
            <w:pPr>
              <w:pStyle w:val="55"/>
              <w:spacing w:before="31" w:after="31"/>
              <w:rPr>
                <w:i/>
              </w:rPr>
            </w:pPr>
            <w:r>
              <w:rPr>
                <w:i/>
                <w:position w:val="-6"/>
              </w:rPr>
              <w:object>
                <v:shape id="_x0000_i1235" o:spt="75" type="#_x0000_t75" style="height:13.45pt;width:13.45pt;" o:ole="t" filled="f" o:preferrelative="t" stroked="f" coordsize="21600,21600">
                  <v:path/>
                  <v:fill on="f" focussize="0,0"/>
                  <v:stroke on="f" joinstyle="miter"/>
                  <v:imagedata r:id="rId325" o:title=""/>
                  <o:lock v:ext="edit" aspectratio="t"/>
                  <w10:wrap type="none"/>
                  <w10:anchorlock/>
                </v:shape>
                <o:OLEObject Type="Embed" ProgID="Equation.DSMT4" ShapeID="_x0000_i1235" DrawAspect="Content" ObjectID="_1468075933" r:id="rId416">
                  <o:LockedField>false</o:LockedField>
                </o:OLEObject>
              </w:object>
            </w:r>
            <w:r>
              <w:t>——</w:t>
            </w:r>
          </w:p>
        </w:tc>
        <w:tc>
          <w:tcPr>
            <w:tcW w:w="6459" w:type="dxa"/>
            <w:tcMar>
              <w:left w:w="0" w:type="dxa"/>
            </w:tcMar>
            <w:vAlign w:val="center"/>
          </w:tcPr>
          <w:p w14:paraId="151BE691">
            <w:pPr>
              <w:pStyle w:val="55"/>
              <w:spacing w:before="31" w:after="31"/>
              <w:jc w:val="left"/>
            </w:pPr>
            <w:r>
              <w:t>新增箍筋沿构件长度方向的间距。</w:t>
            </w:r>
          </w:p>
        </w:tc>
      </w:tr>
    </w:tbl>
    <w:p w14:paraId="291C6B35">
      <w:pPr>
        <w:pStyle w:val="4"/>
      </w:pPr>
      <w:bookmarkStart w:id="639" w:name="_Toc70169830"/>
      <w:bookmarkStart w:id="640" w:name="_Toc31909"/>
      <w:bookmarkStart w:id="641" w:name="_Toc52264510"/>
      <w:bookmarkStart w:id="642" w:name="_Toc18618"/>
      <w:bookmarkStart w:id="643" w:name="_Toc63348938"/>
      <w:bookmarkStart w:id="644" w:name="_Toc48210038"/>
      <w:bookmarkStart w:id="645" w:name="_Toc6369"/>
      <w:bookmarkStart w:id="646" w:name="_Toc67330606"/>
      <w:bookmarkStart w:id="647" w:name="_Toc48210147"/>
      <w:bookmarkStart w:id="648" w:name="_Toc31248"/>
      <w:bookmarkStart w:id="649" w:name="_Toc79615807"/>
      <w:bookmarkStart w:id="650" w:name="_Toc23267"/>
      <w:bookmarkStart w:id="651" w:name="_Toc12291"/>
      <w:bookmarkStart w:id="652" w:name="_Toc70169750"/>
      <w:bookmarkStart w:id="653" w:name="_Toc207111720"/>
      <w:bookmarkStart w:id="654" w:name="_Toc54256661"/>
      <w:bookmarkStart w:id="655" w:name="_Toc54255566"/>
      <w:bookmarkStart w:id="656" w:name="_Toc63348862"/>
      <w:bookmarkStart w:id="657" w:name="_Toc48210370"/>
      <w:r>
        <w:rPr>
          <w:rFonts w:hint="eastAsia"/>
        </w:rPr>
        <w:t>6.</w:t>
      </w:r>
      <w:r>
        <w:t>3.3  当采用增大截面法加固矩形截面受弯构件时，其正截面受弯承载力可按现</w:t>
      </w:r>
      <w:r>
        <w:rPr>
          <w:rStyle w:val="40"/>
          <w:bCs/>
          <w:snapToGrid w:val="0"/>
        </w:rPr>
        <w:t>行国家标准《混凝土结构加固设计规范》GB 50367中增加截面加固法的相关规定进行计算。</w:t>
      </w:r>
    </w:p>
    <w:p w14:paraId="5ACBDCC0">
      <w:pPr>
        <w:pStyle w:val="3"/>
      </w:pPr>
      <w:r>
        <w:rPr>
          <w:rFonts w:hint="eastAsia"/>
        </w:rPr>
        <w:t>6.4  钢筋混凝土柱正截面抗压加固</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59E09148">
      <w:pPr>
        <w:pStyle w:val="4"/>
      </w:pPr>
      <w:r>
        <w:rPr>
          <w:b/>
        </w:rPr>
        <w:t>6.4.1</w:t>
      </w:r>
      <w:r>
        <w:t xml:space="preserve">  </w:t>
      </w:r>
      <w:r>
        <w:rPr>
          <w:rFonts w:hint="eastAsia"/>
        </w:rPr>
        <w:t>钢筋混凝土柱正截面抗压加固（图</w:t>
      </w:r>
      <w:r>
        <w:t>6.4.1）</w:t>
      </w:r>
      <w:r>
        <w:rPr>
          <w:rFonts w:hint="eastAsia"/>
        </w:rPr>
        <w:t>时，</w:t>
      </w:r>
      <w:r>
        <w:t>其正截面受压承载力应按下式验算：</w:t>
      </w:r>
    </w:p>
    <w:p w14:paraId="173267B4">
      <w:pPr>
        <w:tabs>
          <w:tab w:val="left" w:pos="2565"/>
        </w:tabs>
        <w:wordWrap w:val="0"/>
        <w:spacing w:after="312" w:line="312" w:lineRule="auto"/>
        <w:ind w:firstLine="420"/>
        <w:jc w:val="right"/>
      </w:pPr>
      <w:r>
        <w:rPr>
          <w:position w:val="-14"/>
        </w:rPr>
        <w:object>
          <v:shape id="_x0000_i1236" o:spt="75" type="#_x0000_t75" style="height:23.65pt;width:272.95pt;" o:ole="t" filled="f" o:preferrelative="t" stroked="f" coordsize="21600,21600">
            <v:path/>
            <v:fill on="f" focussize="0,0"/>
            <v:stroke on="f" joinstyle="miter"/>
            <v:imagedata r:id="rId418" o:title=""/>
            <o:lock v:ext="edit" aspectratio="t"/>
            <w10:wrap type="none"/>
            <w10:anchorlock/>
          </v:shape>
          <o:OLEObject Type="Embed" ProgID="Equation.DSMT4" ShapeID="_x0000_i1236" DrawAspect="Content" ObjectID="_1468075934" r:id="rId417">
            <o:LockedField>false</o:LockedField>
          </o:OLEObject>
        </w:object>
      </w:r>
      <w:r>
        <w:rPr>
          <w:rFonts w:hint="eastAsia"/>
        </w:rPr>
        <w:t xml:space="preserve"> </w:t>
      </w:r>
      <w:r>
        <w:rPr>
          <w:rFonts w:cs="Times New Roman"/>
          <w:sz w:val="28"/>
          <w:szCs w:val="28"/>
        </w:rPr>
        <w:t>（6.4.1）</w:t>
      </w:r>
    </w:p>
    <w:tbl>
      <w:tblPr>
        <w:tblStyle w:val="28"/>
        <w:tblW w:w="7934" w:type="dxa"/>
        <w:tblInd w:w="108" w:type="dxa"/>
        <w:tblLayout w:type="fixed"/>
        <w:tblCellMar>
          <w:top w:w="0" w:type="dxa"/>
          <w:left w:w="108" w:type="dxa"/>
          <w:bottom w:w="0" w:type="dxa"/>
          <w:right w:w="108" w:type="dxa"/>
        </w:tblCellMar>
      </w:tblPr>
      <w:tblGrid>
        <w:gridCol w:w="1593"/>
        <w:gridCol w:w="6341"/>
      </w:tblGrid>
      <w:tr w14:paraId="36EFF605">
        <w:trPr>
          <w:trHeight w:val="340" w:hRule="atLeast"/>
        </w:trPr>
        <w:tc>
          <w:tcPr>
            <w:tcW w:w="1593" w:type="dxa"/>
          </w:tcPr>
          <w:p w14:paraId="03C11120">
            <w:pPr>
              <w:pStyle w:val="55"/>
              <w:spacing w:before="31" w:after="31"/>
            </w:pPr>
            <w:r>
              <w:t>式中：</w:t>
            </w:r>
          </w:p>
        </w:tc>
        <w:tc>
          <w:tcPr>
            <w:tcW w:w="6341" w:type="dxa"/>
            <w:tcMar>
              <w:left w:w="0" w:type="dxa"/>
            </w:tcMar>
            <w:vAlign w:val="center"/>
          </w:tcPr>
          <w:p w14:paraId="20BABCF6">
            <w:pPr>
              <w:pStyle w:val="55"/>
              <w:spacing w:before="31" w:after="31"/>
            </w:pPr>
          </w:p>
        </w:tc>
      </w:tr>
      <w:tr w14:paraId="47968FF3">
        <w:tblPrEx>
          <w:tblCellMar>
            <w:top w:w="0" w:type="dxa"/>
            <w:left w:w="108" w:type="dxa"/>
            <w:bottom w:w="0" w:type="dxa"/>
            <w:right w:w="108" w:type="dxa"/>
          </w:tblCellMar>
        </w:tblPrEx>
        <w:trPr>
          <w:trHeight w:val="340" w:hRule="atLeast"/>
        </w:trPr>
        <w:tc>
          <w:tcPr>
            <w:tcW w:w="1593" w:type="dxa"/>
          </w:tcPr>
          <w:p w14:paraId="2EBDF0B0">
            <w:pPr>
              <w:pStyle w:val="55"/>
              <w:spacing w:before="31" w:after="31"/>
            </w:pPr>
            <w:r>
              <w:rPr>
                <w:position w:val="-6"/>
              </w:rPr>
              <w:object>
                <v:shape id="_x0000_i1237" o:spt="75" type="#_x0000_t75" style="height:16.65pt;width:16.1pt;" o:ole="t" filled="f" o:preferrelative="t" stroked="f" coordsize="21600,21600">
                  <v:path/>
                  <v:fill on="f" focussize="0,0"/>
                  <v:stroke on="f" joinstyle="miter"/>
                  <v:imagedata r:id="rId420" o:title=""/>
                  <o:lock v:ext="edit" aspectratio="t"/>
                  <w10:wrap type="none"/>
                  <w10:anchorlock/>
                </v:shape>
                <o:OLEObject Type="Embed" ProgID="Equation.DSMT4" ShapeID="_x0000_i1237" DrawAspect="Content" ObjectID="_1468075935" r:id="rId419">
                  <o:LockedField>false</o:LockedField>
                </o:OLEObject>
              </w:object>
            </w:r>
            <w:r>
              <w:t>——</w:t>
            </w:r>
          </w:p>
        </w:tc>
        <w:tc>
          <w:tcPr>
            <w:tcW w:w="6341" w:type="dxa"/>
            <w:tcMar>
              <w:left w:w="0" w:type="dxa"/>
            </w:tcMar>
            <w:vAlign w:val="center"/>
          </w:tcPr>
          <w:p w14:paraId="47C765BB">
            <w:pPr>
              <w:pStyle w:val="55"/>
              <w:spacing w:before="31" w:after="31"/>
              <w:jc w:val="left"/>
            </w:pPr>
            <w:r>
              <w:t>构件轴向压力设计值；</w:t>
            </w:r>
          </w:p>
        </w:tc>
      </w:tr>
      <w:tr w14:paraId="54234D63">
        <w:tblPrEx>
          <w:tblCellMar>
            <w:top w:w="0" w:type="dxa"/>
            <w:left w:w="108" w:type="dxa"/>
            <w:bottom w:w="0" w:type="dxa"/>
            <w:right w:w="108" w:type="dxa"/>
          </w:tblCellMar>
        </w:tblPrEx>
        <w:trPr>
          <w:trHeight w:val="340" w:hRule="atLeast"/>
        </w:trPr>
        <w:tc>
          <w:tcPr>
            <w:tcW w:w="1593" w:type="dxa"/>
          </w:tcPr>
          <w:p w14:paraId="761D2F05">
            <w:pPr>
              <w:pStyle w:val="55"/>
              <w:spacing w:before="31" w:after="31"/>
            </w:pPr>
            <w:r>
              <w:rPr>
                <w:position w:val="-10"/>
              </w:rPr>
              <w:object>
                <v:shape id="_x0000_i1238" o:spt="75" type="#_x0000_t75" style="height:16.65pt;width:12.35pt;" o:ole="t" filled="f" o:preferrelative="t" stroked="f" coordsize="21600,21600">
                  <v:path/>
                  <v:fill on="f" focussize="0,0"/>
                  <v:stroke on="f" joinstyle="miter"/>
                  <v:imagedata r:id="rId422" o:title=""/>
                  <o:lock v:ext="edit" aspectratio="t"/>
                  <w10:wrap type="none"/>
                  <w10:anchorlock/>
                </v:shape>
                <o:OLEObject Type="Embed" ProgID="Equation.DSMT4" ShapeID="_x0000_i1238" DrawAspect="Content" ObjectID="_1468075936" r:id="rId421">
                  <o:LockedField>false</o:LockedField>
                </o:OLEObject>
              </w:object>
            </w:r>
            <w:r>
              <w:t>——</w:t>
            </w:r>
          </w:p>
        </w:tc>
        <w:tc>
          <w:tcPr>
            <w:tcW w:w="6341" w:type="dxa"/>
            <w:tcMar>
              <w:left w:w="0" w:type="dxa"/>
            </w:tcMar>
            <w:vAlign w:val="center"/>
          </w:tcPr>
          <w:p w14:paraId="58A1D989">
            <w:pPr>
              <w:pStyle w:val="55"/>
              <w:spacing w:before="31" w:after="31"/>
              <w:jc w:val="left"/>
            </w:pPr>
            <w:r>
              <w:t>构件稳定系数，根据加固后的截面尺寸，按现行国家标准《混凝土结构设计规范》GB 50010的规定值采用；</w:t>
            </w:r>
          </w:p>
        </w:tc>
      </w:tr>
      <w:tr w14:paraId="3ABA6A4A">
        <w:tblPrEx>
          <w:tblCellMar>
            <w:top w:w="0" w:type="dxa"/>
            <w:left w:w="108" w:type="dxa"/>
            <w:bottom w:w="0" w:type="dxa"/>
            <w:right w:w="108" w:type="dxa"/>
          </w:tblCellMar>
        </w:tblPrEx>
        <w:tc>
          <w:tcPr>
            <w:tcW w:w="1593" w:type="dxa"/>
          </w:tcPr>
          <w:p w14:paraId="695CA907">
            <w:pPr>
              <w:pStyle w:val="55"/>
              <w:spacing w:before="31" w:after="31"/>
            </w:pPr>
            <w:r>
              <w:rPr>
                <w:position w:val="-10"/>
              </w:rPr>
              <w:object>
                <v:shape id="_x0000_i1239" o:spt="75" type="#_x0000_t75" style="height:19.9pt;width:16.1pt;" o:ole="t" filled="f" o:preferrelative="t" stroked="f" coordsize="21600,21600">
                  <v:path/>
                  <v:fill on="f" focussize="0,0"/>
                  <v:stroke on="f" joinstyle="miter"/>
                  <v:imagedata r:id="rId424" o:title=""/>
                  <o:lock v:ext="edit" aspectratio="t"/>
                  <w10:wrap type="none"/>
                  <w10:anchorlock/>
                </v:shape>
                <o:OLEObject Type="Embed" ProgID="Equation.DSMT4" ShapeID="_x0000_i1239" DrawAspect="Content" ObjectID="_1468075937" r:id="rId423">
                  <o:LockedField>false</o:LockedField>
                </o:OLEObject>
              </w:object>
            </w:r>
            <w:r>
              <w:t>——</w:t>
            </w:r>
          </w:p>
        </w:tc>
        <w:tc>
          <w:tcPr>
            <w:tcW w:w="6341" w:type="dxa"/>
            <w:tcMar>
              <w:left w:w="0" w:type="dxa"/>
            </w:tcMar>
            <w:vAlign w:val="center"/>
          </w:tcPr>
          <w:p w14:paraId="22CD581F">
            <w:pPr>
              <w:pStyle w:val="55"/>
              <w:spacing w:before="31" w:after="31"/>
              <w:jc w:val="left"/>
            </w:pPr>
            <w:r>
              <w:t>构件加固前混凝土截面面积，当纵筋配筋率大于3%时应减去</w:t>
            </w:r>
            <w:r>
              <w:rPr>
                <w:rFonts w:hint="eastAsia"/>
              </w:rPr>
              <w:t>原配筋</w:t>
            </w:r>
            <w:r>
              <w:t>面积；</w:t>
            </w:r>
          </w:p>
        </w:tc>
      </w:tr>
      <w:tr w14:paraId="57524C6F">
        <w:tblPrEx>
          <w:tblCellMar>
            <w:top w:w="0" w:type="dxa"/>
            <w:left w:w="108" w:type="dxa"/>
            <w:bottom w:w="0" w:type="dxa"/>
            <w:right w:w="108" w:type="dxa"/>
          </w:tblCellMar>
        </w:tblPrEx>
        <w:tc>
          <w:tcPr>
            <w:tcW w:w="1593" w:type="dxa"/>
          </w:tcPr>
          <w:p w14:paraId="1C8C683C">
            <w:pPr>
              <w:pStyle w:val="55"/>
              <w:spacing w:before="31" w:after="31"/>
            </w:pPr>
            <w:r>
              <w:rPr>
                <w:position w:val="-10"/>
              </w:rPr>
              <w:object>
                <v:shape id="_x0000_i1240" o:spt="75" type="#_x0000_t75" style="height:19.9pt;width:16.65pt;" o:ole="t" filled="f" o:preferrelative="t" stroked="f" coordsize="21600,21600">
                  <v:path/>
                  <v:fill on="f" focussize="0,0"/>
                  <v:stroke on="f" joinstyle="miter"/>
                  <v:imagedata r:id="rId426" o:title=""/>
                  <o:lock v:ext="edit" aspectratio="t"/>
                  <w10:wrap type="none"/>
                  <w10:anchorlock/>
                </v:shape>
                <o:OLEObject Type="Embed" ProgID="Equation.DSMT4" ShapeID="_x0000_i1240" DrawAspect="Content" ObjectID="_1468075938" r:id="rId425">
                  <o:LockedField>false</o:LockedField>
                </o:OLEObject>
              </w:object>
            </w:r>
            <w:r>
              <w:t>——</w:t>
            </w:r>
          </w:p>
        </w:tc>
        <w:tc>
          <w:tcPr>
            <w:tcW w:w="6341" w:type="dxa"/>
            <w:tcMar>
              <w:left w:w="0" w:type="dxa"/>
            </w:tcMar>
            <w:vAlign w:val="center"/>
          </w:tcPr>
          <w:p w14:paraId="518786FC">
            <w:pPr>
              <w:pStyle w:val="55"/>
              <w:spacing w:before="31" w:after="31"/>
              <w:jc w:val="left"/>
            </w:pPr>
            <w:r>
              <w:t>构件新增高延性混凝土总截面面积；</w:t>
            </w:r>
          </w:p>
        </w:tc>
      </w:tr>
      <w:tr w14:paraId="4A736F5F">
        <w:tblPrEx>
          <w:tblCellMar>
            <w:top w:w="0" w:type="dxa"/>
            <w:left w:w="108" w:type="dxa"/>
            <w:bottom w:w="0" w:type="dxa"/>
            <w:right w:w="108" w:type="dxa"/>
          </w:tblCellMar>
        </w:tblPrEx>
        <w:trPr>
          <w:trHeight w:val="340" w:hRule="atLeast"/>
        </w:trPr>
        <w:tc>
          <w:tcPr>
            <w:tcW w:w="1593" w:type="dxa"/>
          </w:tcPr>
          <w:p w14:paraId="0B4B24D4">
            <w:pPr>
              <w:pStyle w:val="55"/>
              <w:spacing w:before="31" w:after="31"/>
            </w:pPr>
            <w:r>
              <w:rPr>
                <w:position w:val="-14"/>
              </w:rPr>
              <w:object>
                <v:shape id="_x0000_i1241" o:spt="75" type="#_x0000_t75" style="height:20.95pt;width:40.3pt;" o:ole="t" filled="f" o:preferrelative="t" stroked="f" coordsize="21600,21600">
                  <v:path/>
                  <v:fill on="f" focussize="0,0"/>
                  <v:stroke on="f" joinstyle="miter"/>
                  <v:imagedata r:id="rId428" o:title=""/>
                  <o:lock v:ext="edit" aspectratio="t"/>
                  <w10:wrap type="none"/>
                  <w10:anchorlock/>
                </v:shape>
                <o:OLEObject Type="Embed" ProgID="Equation.DSMT4" ShapeID="_x0000_i1241" DrawAspect="Content" ObjectID="_1468075939" r:id="rId427">
                  <o:LockedField>false</o:LockedField>
                </o:OLEObject>
              </w:object>
            </w:r>
            <w:r>
              <w:t>——</w:t>
            </w:r>
          </w:p>
        </w:tc>
        <w:tc>
          <w:tcPr>
            <w:tcW w:w="6341" w:type="dxa"/>
            <w:tcMar>
              <w:left w:w="0" w:type="dxa"/>
            </w:tcMar>
            <w:vAlign w:val="center"/>
          </w:tcPr>
          <w:p w14:paraId="5CD09F12">
            <w:pPr>
              <w:pStyle w:val="55"/>
              <w:spacing w:before="31" w:after="31"/>
              <w:jc w:val="left"/>
            </w:pPr>
            <w:r>
              <w:t>新增纵向钢筋和原纵向钢筋的抗压强度设计值，其取值不应超过400N/mm</w:t>
            </w:r>
            <w:r>
              <w:rPr>
                <w:vertAlign w:val="superscript"/>
              </w:rPr>
              <w:t>2</w:t>
            </w:r>
            <w:r>
              <w:t>；</w:t>
            </w:r>
          </w:p>
        </w:tc>
      </w:tr>
      <w:tr w14:paraId="59AE5713">
        <w:tblPrEx>
          <w:tblCellMar>
            <w:top w:w="0" w:type="dxa"/>
            <w:left w:w="108" w:type="dxa"/>
            <w:bottom w:w="0" w:type="dxa"/>
            <w:right w:w="108" w:type="dxa"/>
          </w:tblCellMar>
        </w:tblPrEx>
        <w:trPr>
          <w:trHeight w:val="340" w:hRule="atLeast"/>
        </w:trPr>
        <w:tc>
          <w:tcPr>
            <w:tcW w:w="1593" w:type="dxa"/>
          </w:tcPr>
          <w:p w14:paraId="498476B0">
            <w:pPr>
              <w:pStyle w:val="55"/>
              <w:spacing w:before="31" w:after="31"/>
            </w:pPr>
            <w:r>
              <w:rPr>
                <w:position w:val="-10"/>
              </w:rPr>
              <w:object>
                <v:shape id="_x0000_i1242" o:spt="75" type="#_x0000_t75" style="height:16.65pt;width:40.3pt;" o:ole="t" filled="f" o:preferrelative="t" stroked="f" coordsize="21600,21600">
                  <v:path/>
                  <v:fill on="f" focussize="0,0"/>
                  <v:stroke on="f" joinstyle="miter"/>
                  <v:imagedata r:id="rId430" o:title=""/>
                  <o:lock v:ext="edit" aspectratio="t"/>
                  <w10:wrap type="none"/>
                  <w10:anchorlock/>
                </v:shape>
                <o:OLEObject Type="Embed" ProgID="Equation.DSMT4" ShapeID="_x0000_i1242" DrawAspect="Content" ObjectID="_1468075940" r:id="rId429">
                  <o:LockedField>false</o:LockedField>
                </o:OLEObject>
              </w:object>
            </w:r>
            <w:r>
              <w:t>——</w:t>
            </w:r>
          </w:p>
        </w:tc>
        <w:tc>
          <w:tcPr>
            <w:tcW w:w="6341" w:type="dxa"/>
            <w:tcMar>
              <w:left w:w="0" w:type="dxa"/>
            </w:tcMar>
            <w:vAlign w:val="center"/>
          </w:tcPr>
          <w:p w14:paraId="79CA1C58">
            <w:pPr>
              <w:pStyle w:val="55"/>
              <w:spacing w:before="31" w:after="31"/>
              <w:jc w:val="left"/>
            </w:pPr>
            <w:r>
              <w:t>新增纵向 受压钢筋和原纵向受压钢筋的截面面积；</w:t>
            </w:r>
          </w:p>
        </w:tc>
      </w:tr>
      <w:tr w14:paraId="64DC848F">
        <w:tblPrEx>
          <w:tblCellMar>
            <w:top w:w="0" w:type="dxa"/>
            <w:left w:w="108" w:type="dxa"/>
            <w:bottom w:w="0" w:type="dxa"/>
            <w:right w:w="108" w:type="dxa"/>
          </w:tblCellMar>
        </w:tblPrEx>
        <w:trPr>
          <w:trHeight w:val="340" w:hRule="atLeast"/>
        </w:trPr>
        <w:tc>
          <w:tcPr>
            <w:tcW w:w="1593" w:type="dxa"/>
          </w:tcPr>
          <w:p w14:paraId="104F5E87">
            <w:pPr>
              <w:pStyle w:val="55"/>
              <w:spacing w:before="31" w:after="31"/>
            </w:pPr>
            <w:r>
              <w:rPr>
                <w:position w:val="-10"/>
              </w:rPr>
              <w:object>
                <v:shape id="_x0000_i1243" o:spt="75" type="#_x0000_t75" style="height:19.9pt;width:19.35pt;" o:ole="t" filled="f" o:preferrelative="t" stroked="f" coordsize="21600,21600">
                  <v:path/>
                  <v:fill on="f" focussize="0,0"/>
                  <v:stroke on="f" joinstyle="miter"/>
                  <v:imagedata r:id="rId432" o:title=""/>
                  <o:lock v:ext="edit" aspectratio="t"/>
                  <w10:wrap type="none"/>
                  <w10:anchorlock/>
                </v:shape>
                <o:OLEObject Type="Embed" ProgID="Equation.DSMT4" ShapeID="_x0000_i1243" DrawAspect="Content" ObjectID="_1468075941" r:id="rId431">
                  <o:LockedField>false</o:LockedField>
                </o:OLEObject>
              </w:object>
            </w:r>
            <w:r>
              <w:t>——</w:t>
            </w:r>
          </w:p>
        </w:tc>
        <w:tc>
          <w:tcPr>
            <w:tcW w:w="6341" w:type="dxa"/>
            <w:tcMar>
              <w:left w:w="0" w:type="dxa"/>
            </w:tcMar>
            <w:vAlign w:val="center"/>
          </w:tcPr>
          <w:p w14:paraId="4FEA26BA">
            <w:pPr>
              <w:pStyle w:val="55"/>
              <w:spacing w:before="31" w:after="31"/>
              <w:jc w:val="left"/>
            </w:pPr>
            <w:r>
              <w:t>综合考虑新增高延性混凝土和钢筋强度利用程度的降低系数，取值为0.50；当有可靠试验依据时，</w:t>
            </w:r>
            <w:r>
              <w:rPr>
                <w:position w:val="-10"/>
              </w:rPr>
              <w:object>
                <v:shape id="_x0000_i1244" o:spt="75" type="#_x0000_t75" style="height:19.9pt;width:19.35pt;" o:ole="t" filled="f" o:preferrelative="t" stroked="f" coordsize="21600,21600">
                  <v:path/>
                  <v:fill on="f" focussize="0,0"/>
                  <v:stroke on="f" joinstyle="miter"/>
                  <v:imagedata r:id="rId432" o:title=""/>
                  <o:lock v:ext="edit" aspectratio="t"/>
                  <w10:wrap type="none"/>
                  <w10:anchorlock/>
                </v:shape>
                <o:OLEObject Type="Embed" ProgID="Equation.DSMT4" ShapeID="_x0000_i1244" DrawAspect="Content" ObjectID="_1468075942" r:id="rId433">
                  <o:LockedField>false</o:LockedField>
                </o:OLEObject>
              </w:object>
            </w:r>
            <w:r>
              <w:t>值可做适当调整；</w:t>
            </w:r>
          </w:p>
        </w:tc>
      </w:tr>
      <w:tr w14:paraId="227D0106">
        <w:tblPrEx>
          <w:tblCellMar>
            <w:top w:w="0" w:type="dxa"/>
            <w:left w:w="108" w:type="dxa"/>
            <w:bottom w:w="0" w:type="dxa"/>
            <w:right w:w="108" w:type="dxa"/>
          </w:tblCellMar>
        </w:tblPrEx>
        <w:trPr>
          <w:trHeight w:val="340" w:hRule="atLeast"/>
        </w:trPr>
        <w:tc>
          <w:tcPr>
            <w:tcW w:w="1593" w:type="dxa"/>
          </w:tcPr>
          <w:p w14:paraId="7AD65DBA">
            <w:pPr>
              <w:pStyle w:val="55"/>
              <w:spacing w:before="31" w:after="31"/>
            </w:pPr>
            <w:r>
              <w:rPr>
                <w:position w:val="-10"/>
              </w:rPr>
              <w:object>
                <v:shape id="_x0000_i1245" o:spt="75" type="#_x0000_t75" style="height:19.9pt;width:20.95pt;" o:ole="t" filled="f" o:preferrelative="t" stroked="f" coordsize="21600,21600">
                  <v:path/>
                  <v:fill on="f" focussize="0,0"/>
                  <v:stroke on="f" joinstyle="miter"/>
                  <v:imagedata r:id="rId435" o:title=""/>
                  <o:lock v:ext="edit" aspectratio="t"/>
                  <w10:wrap type="none"/>
                  <w10:anchorlock/>
                </v:shape>
                <o:OLEObject Type="Embed" ProgID="Equation.DSMT4" ShapeID="_x0000_i1245" DrawAspect="Content" ObjectID="_1468075943" r:id="rId434">
                  <o:LockedField>false</o:LockedField>
                </o:OLEObject>
              </w:object>
            </w:r>
            <w:r>
              <w:t>——</w:t>
            </w:r>
          </w:p>
        </w:tc>
        <w:tc>
          <w:tcPr>
            <w:tcW w:w="6341" w:type="dxa"/>
            <w:tcMar>
              <w:left w:w="0" w:type="dxa"/>
            </w:tcMar>
            <w:vAlign w:val="center"/>
          </w:tcPr>
          <w:p w14:paraId="0CD6AB79">
            <w:pPr>
              <w:pStyle w:val="55"/>
              <w:spacing w:before="31" w:after="31"/>
              <w:jc w:val="left"/>
            </w:pPr>
            <w:r>
              <w:t>高延性混凝土轴心抗压强度设计值。</w:t>
            </w:r>
          </w:p>
        </w:tc>
      </w:tr>
    </w:tbl>
    <w:p w14:paraId="309D0245">
      <w:pPr>
        <w:spacing w:after="156" w:line="312" w:lineRule="auto"/>
        <w:ind w:firstLine="420"/>
        <w:jc w:val="center"/>
      </w:pPr>
      <w:r>
        <w:drawing>
          <wp:inline distT="0" distB="0" distL="114300" distR="114300">
            <wp:extent cx="2005330" cy="1648460"/>
            <wp:effectExtent l="0" t="0" r="0" b="12700"/>
            <wp:docPr id="11"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0"/>
                    <pic:cNvPicPr>
                      <a:picLocks noChangeAspect="1"/>
                    </pic:cNvPicPr>
                  </pic:nvPicPr>
                  <pic:blipFill>
                    <a:blip r:embed="rId436"/>
                    <a:stretch>
                      <a:fillRect/>
                    </a:stretch>
                  </pic:blipFill>
                  <pic:spPr>
                    <a:xfrm>
                      <a:off x="0" y="0"/>
                      <a:ext cx="2005330" cy="1648460"/>
                    </a:xfrm>
                    <a:prstGeom prst="rect">
                      <a:avLst/>
                    </a:prstGeom>
                    <a:noFill/>
                    <a:ln>
                      <a:noFill/>
                    </a:ln>
                  </pic:spPr>
                </pic:pic>
              </a:graphicData>
            </a:graphic>
          </wp:inline>
        </w:drawing>
      </w:r>
    </w:p>
    <w:p w14:paraId="126CE8A9">
      <w:pPr>
        <w:spacing w:after="312" w:line="312" w:lineRule="auto"/>
        <w:ind w:firstLine="420"/>
        <w:jc w:val="center"/>
        <w:rPr>
          <w:rFonts w:cs="Times New Roman"/>
          <w:szCs w:val="21"/>
        </w:rPr>
      </w:pPr>
      <w:r>
        <w:rPr>
          <w:rFonts w:cs="Times New Roman"/>
          <w:szCs w:val="21"/>
        </w:rPr>
        <w:t>图6.4.1 高延性混凝土围套加固钢筋混凝土柱示意图</w:t>
      </w:r>
    </w:p>
    <w:p w14:paraId="77265BD4">
      <w:pPr>
        <w:spacing w:after="312" w:line="312" w:lineRule="auto"/>
        <w:ind w:firstLine="420"/>
        <w:jc w:val="center"/>
        <w:rPr>
          <w:rFonts w:cs="Times New Roman"/>
          <w:szCs w:val="21"/>
        </w:rPr>
      </w:pPr>
      <w:r>
        <w:rPr>
          <w:rFonts w:hint="eastAsia" w:cs="Times New Roman"/>
          <w:szCs w:val="21"/>
        </w:rPr>
        <w:t>1-高延性混凝土；2-新增箍筋；3-原柱截面；4-新增纵向受力钢筋</w:t>
      </w:r>
    </w:p>
    <w:p w14:paraId="5262490F">
      <w:pPr>
        <w:pStyle w:val="3"/>
      </w:pPr>
      <w:bookmarkStart w:id="658" w:name="_Toc30521"/>
      <w:bookmarkStart w:id="659" w:name="_Toc67761371"/>
      <w:bookmarkStart w:id="660" w:name="_Toc13590"/>
      <w:bookmarkStart w:id="661" w:name="_Toc67761445"/>
      <w:bookmarkStart w:id="662" w:name="_Toc29916"/>
      <w:bookmarkStart w:id="663" w:name="_Toc70169751"/>
      <w:bookmarkStart w:id="664" w:name="_Toc3723"/>
      <w:bookmarkStart w:id="665" w:name="_Toc207111721"/>
      <w:bookmarkStart w:id="666" w:name="_Toc66105612"/>
      <w:bookmarkStart w:id="667" w:name="_Toc167"/>
      <w:bookmarkStart w:id="668" w:name="_Toc19863"/>
      <w:bookmarkStart w:id="669" w:name="_Toc79615808"/>
      <w:bookmarkStart w:id="670" w:name="_Toc70169831"/>
      <w:bookmarkStart w:id="671" w:name="_Toc48210371"/>
      <w:bookmarkStart w:id="672" w:name="_Toc52264511"/>
      <w:bookmarkStart w:id="673" w:name="_Toc54256663"/>
      <w:bookmarkStart w:id="674" w:name="_Toc63348863"/>
      <w:bookmarkStart w:id="675" w:name="_Toc48210148"/>
      <w:bookmarkStart w:id="676" w:name="_Toc63348939"/>
      <w:bookmarkStart w:id="677" w:name="_Toc67330607"/>
      <w:bookmarkStart w:id="678" w:name="_Toc54255568"/>
      <w:bookmarkStart w:id="679" w:name="_Toc48210039"/>
    </w:p>
    <w:p w14:paraId="159DDC50">
      <w:pPr>
        <w:pStyle w:val="3"/>
      </w:pPr>
      <w:r>
        <w:rPr>
          <w:rFonts w:hint="eastAsia"/>
        </w:rPr>
        <w:t xml:space="preserve">6.5  </w:t>
      </w:r>
      <w:r>
        <w:rPr>
          <w:rFonts w:hint="eastAsia"/>
          <w:bCs/>
        </w:rPr>
        <w:t>抗震加固</w:t>
      </w:r>
      <w:bookmarkEnd w:id="658"/>
      <w:bookmarkEnd w:id="659"/>
      <w:bookmarkEnd w:id="660"/>
      <w:bookmarkEnd w:id="661"/>
      <w:bookmarkEnd w:id="662"/>
      <w:bookmarkEnd w:id="663"/>
      <w:bookmarkEnd w:id="664"/>
      <w:bookmarkEnd w:id="665"/>
      <w:bookmarkEnd w:id="666"/>
      <w:bookmarkEnd w:id="667"/>
      <w:bookmarkEnd w:id="668"/>
      <w:bookmarkEnd w:id="669"/>
      <w:bookmarkEnd w:id="670"/>
    </w:p>
    <w:p w14:paraId="6419AC1F">
      <w:pPr>
        <w:pStyle w:val="4"/>
      </w:pPr>
      <w:r>
        <w:rPr>
          <w:rFonts w:hint="eastAsia"/>
          <w:b/>
        </w:rPr>
        <w:t>6.5.1</w:t>
      </w:r>
      <w:r>
        <w:rPr>
          <w:b/>
        </w:rPr>
        <w:t xml:space="preserve"> </w:t>
      </w:r>
      <w:r>
        <w:t xml:space="preserve"> 考虑地震作用组合时，</w:t>
      </w:r>
      <w:r>
        <w:rPr>
          <w:rFonts w:hint="eastAsia"/>
        </w:rPr>
        <w:t>截面承载力计算除应符合本规程规定外，尚应符合现行国家标准《建筑抗震设计规范》G</w:t>
      </w:r>
      <w:r>
        <w:t>B 50011</w:t>
      </w:r>
      <w:r>
        <w:rPr>
          <w:rFonts w:hint="eastAsia"/>
        </w:rPr>
        <w:t>的相关规定，且其</w:t>
      </w:r>
      <w:r>
        <w:t>受剪截面应符合下列</w:t>
      </w:r>
      <w:r>
        <w:rPr>
          <w:rFonts w:hint="eastAsia"/>
        </w:rPr>
        <w:t>要求</w:t>
      </w:r>
      <w:r>
        <w:t>：</w:t>
      </w:r>
    </w:p>
    <w:p w14:paraId="47ED10E8">
      <w:pPr>
        <w:ind w:firstLine="422"/>
      </w:pPr>
      <w:r>
        <w:rPr>
          <w:b/>
          <w:bCs/>
        </w:rPr>
        <w:t>1</w:t>
      </w:r>
      <w:r>
        <w:t xml:space="preserve"> </w:t>
      </w:r>
      <w:r>
        <w:rPr>
          <w:rFonts w:hint="eastAsia"/>
        </w:rPr>
        <w:t>对于</w:t>
      </w:r>
      <w:r>
        <w:t>跨高比大于2.5的梁和连梁及剪跨比大于2的柱</w:t>
      </w:r>
    </w:p>
    <w:p w14:paraId="6CAE607B">
      <w:pPr>
        <w:tabs>
          <w:tab w:val="left" w:pos="2565"/>
        </w:tabs>
        <w:wordWrap w:val="0"/>
        <w:spacing w:after="312" w:line="312" w:lineRule="auto"/>
        <w:ind w:firstLine="420"/>
        <w:jc w:val="right"/>
      </w:pPr>
      <w:r>
        <w:rPr>
          <w:position w:val="-28"/>
        </w:rPr>
        <w:object>
          <v:shape id="_x0000_i1246" o:spt="75" type="#_x0000_t75" style="height:40.3pt;width:195.05pt;" o:ole="t" filled="f" o:preferrelative="t" stroked="f" coordsize="21600,21600">
            <v:path/>
            <v:fill on="f" focussize="0,0"/>
            <v:stroke on="f" joinstyle="miter"/>
            <v:imagedata r:id="rId438" o:title=""/>
            <o:lock v:ext="edit" aspectratio="t"/>
            <w10:wrap type="none"/>
            <w10:anchorlock/>
          </v:shape>
          <o:OLEObject Type="Embed" ProgID="Equation.DSMT4" ShapeID="_x0000_i1246" DrawAspect="Content" ObjectID="_1468075944" r:id="rId437">
            <o:LockedField>false</o:LockedField>
          </o:OLEObject>
        </w:object>
      </w:r>
      <w:r>
        <w:rPr>
          <w:rFonts w:hint="eastAsia"/>
        </w:rPr>
        <w:t xml:space="preserve">      </w:t>
      </w:r>
      <w:r>
        <w:t xml:space="preserve"> </w:t>
      </w:r>
      <w:r>
        <w:rPr>
          <w:rFonts w:cs="Times New Roman"/>
          <w:sz w:val="28"/>
          <w:szCs w:val="28"/>
        </w:rPr>
        <w:t>（6.5.1-1）</w:t>
      </w:r>
    </w:p>
    <w:p w14:paraId="78B84478">
      <w:pPr>
        <w:ind w:firstLine="422"/>
      </w:pPr>
      <w:r>
        <w:rPr>
          <w:rFonts w:hint="eastAsia"/>
          <w:b/>
          <w:bCs/>
        </w:rPr>
        <w:t>2</w:t>
      </w:r>
      <w:r>
        <w:rPr>
          <w:b/>
          <w:bCs/>
        </w:rPr>
        <w:t xml:space="preserve"> </w:t>
      </w:r>
      <w:r>
        <w:rPr>
          <w:rFonts w:hint="eastAsia"/>
        </w:rPr>
        <w:t>对于跨</w:t>
      </w:r>
      <w:r>
        <w:t>高比不</w:t>
      </w:r>
      <w:r>
        <w:rPr>
          <w:rFonts w:hint="eastAsia"/>
        </w:rPr>
        <w:t>大于</w:t>
      </w:r>
      <w:r>
        <w:t>2.5的梁和连梁及剪跨比不大于2的柱</w:t>
      </w:r>
    </w:p>
    <w:p w14:paraId="50279E1D">
      <w:pPr>
        <w:tabs>
          <w:tab w:val="left" w:pos="2565"/>
        </w:tabs>
        <w:wordWrap w:val="0"/>
        <w:spacing w:after="312" w:line="312" w:lineRule="auto"/>
        <w:ind w:firstLine="420"/>
        <w:jc w:val="right"/>
      </w:pPr>
      <w:r>
        <w:rPr>
          <w:position w:val="-28"/>
        </w:rPr>
        <w:object>
          <v:shape id="_x0000_i1247" o:spt="75" type="#_x0000_t75" style="height:39.2pt;width:193.95pt;" o:ole="t" filled="f" o:preferrelative="t" stroked="f" coordsize="21600,21600">
            <v:path/>
            <v:fill on="f" focussize="0,0"/>
            <v:stroke on="f" joinstyle="miter"/>
            <v:imagedata r:id="rId440" o:title=""/>
            <o:lock v:ext="edit" aspectratio="t"/>
            <w10:wrap type="none"/>
            <w10:anchorlock/>
          </v:shape>
          <o:OLEObject Type="Embed" ProgID="Equation.DSMT4" ShapeID="_x0000_i1247" DrawAspect="Content" ObjectID="_1468075945" r:id="rId439">
            <o:LockedField>false</o:LockedField>
          </o:OLEObject>
        </w:object>
      </w:r>
      <w:r>
        <w:rPr>
          <w:rFonts w:hint="eastAsia"/>
        </w:rPr>
        <w:t xml:space="preserve">     </w:t>
      </w:r>
      <w:r>
        <w:t xml:space="preserve">  </w:t>
      </w:r>
      <w:r>
        <w:rPr>
          <w:rFonts w:cs="Times New Roman"/>
          <w:sz w:val="28"/>
          <w:szCs w:val="28"/>
        </w:rPr>
        <w:t>（6.5.1-2）</w:t>
      </w:r>
    </w:p>
    <w:p w14:paraId="1AE99561">
      <w:pPr>
        <w:ind w:firstLine="420"/>
      </w:pPr>
      <w:r>
        <w:t>剪跨比的计算应符合现行国家标准《建筑抗震设计规范》GB 50011的有关规定。</w:t>
      </w:r>
    </w:p>
    <w:tbl>
      <w:tblPr>
        <w:tblStyle w:val="28"/>
        <w:tblW w:w="7933" w:type="dxa"/>
        <w:tblInd w:w="111" w:type="dxa"/>
        <w:tblLayout w:type="fixed"/>
        <w:tblCellMar>
          <w:top w:w="0" w:type="dxa"/>
          <w:left w:w="108" w:type="dxa"/>
          <w:bottom w:w="0" w:type="dxa"/>
          <w:right w:w="108" w:type="dxa"/>
        </w:tblCellMar>
      </w:tblPr>
      <w:tblGrid>
        <w:gridCol w:w="1307"/>
        <w:gridCol w:w="6626"/>
      </w:tblGrid>
      <w:tr w14:paraId="6EFBAD5D">
        <w:tblPrEx>
          <w:tblCellMar>
            <w:top w:w="0" w:type="dxa"/>
            <w:left w:w="108" w:type="dxa"/>
            <w:bottom w:w="0" w:type="dxa"/>
            <w:right w:w="108" w:type="dxa"/>
          </w:tblCellMar>
        </w:tblPrEx>
        <w:trPr>
          <w:trHeight w:val="454" w:hRule="atLeast"/>
        </w:trPr>
        <w:tc>
          <w:tcPr>
            <w:tcW w:w="1307" w:type="dxa"/>
          </w:tcPr>
          <w:p w14:paraId="0E1471B9">
            <w:pPr>
              <w:pStyle w:val="55"/>
              <w:spacing w:before="31" w:after="31"/>
            </w:pPr>
            <w:r>
              <w:t>式中：</w:t>
            </w:r>
          </w:p>
        </w:tc>
        <w:tc>
          <w:tcPr>
            <w:tcW w:w="6626" w:type="dxa"/>
            <w:tcMar>
              <w:left w:w="0" w:type="dxa"/>
            </w:tcMar>
            <w:vAlign w:val="center"/>
          </w:tcPr>
          <w:p w14:paraId="415B849F">
            <w:pPr>
              <w:pStyle w:val="55"/>
              <w:spacing w:before="31" w:after="31"/>
            </w:pPr>
          </w:p>
        </w:tc>
      </w:tr>
      <w:tr w14:paraId="0715C351">
        <w:tblPrEx>
          <w:tblCellMar>
            <w:top w:w="0" w:type="dxa"/>
            <w:left w:w="108" w:type="dxa"/>
            <w:bottom w:w="0" w:type="dxa"/>
            <w:right w:w="108" w:type="dxa"/>
          </w:tblCellMar>
        </w:tblPrEx>
        <w:trPr>
          <w:trHeight w:val="454" w:hRule="atLeast"/>
        </w:trPr>
        <w:tc>
          <w:tcPr>
            <w:tcW w:w="1307" w:type="dxa"/>
          </w:tcPr>
          <w:p w14:paraId="4836AE50">
            <w:pPr>
              <w:pStyle w:val="55"/>
              <w:spacing w:before="31" w:after="31"/>
            </w:pPr>
            <w:r>
              <w:rPr>
                <w:position w:val="-10"/>
              </w:rPr>
              <w:object>
                <v:shape id="_x0000_i1248" o:spt="75" type="#_x0000_t75" style="height:19.9pt;width:16.1pt;" o:ole="t" filled="f" o:preferrelative="t" stroked="f" coordsize="21600,21600">
                  <v:path/>
                  <v:fill on="f" focussize="0,0"/>
                  <v:stroke on="f" joinstyle="miter"/>
                  <v:imagedata r:id="rId442" o:title=""/>
                  <o:lock v:ext="edit" aspectratio="t"/>
                  <w10:wrap type="none"/>
                  <w10:anchorlock/>
                </v:shape>
                <o:OLEObject Type="Embed" ProgID="Equation.DSMT4" ShapeID="_x0000_i1248" DrawAspect="Content" ObjectID="_1468075946" r:id="rId441">
                  <o:LockedField>false</o:LockedField>
                </o:OLEObject>
              </w:object>
            </w:r>
            <w:r>
              <w:t>——</w:t>
            </w:r>
          </w:p>
        </w:tc>
        <w:tc>
          <w:tcPr>
            <w:tcW w:w="6626" w:type="dxa"/>
            <w:tcMar>
              <w:left w:w="0" w:type="dxa"/>
            </w:tcMar>
            <w:vAlign w:val="center"/>
          </w:tcPr>
          <w:p w14:paraId="74CA11B2">
            <w:pPr>
              <w:pStyle w:val="55"/>
              <w:spacing w:before="31" w:after="31"/>
              <w:jc w:val="left"/>
            </w:pPr>
            <w:r>
              <w:t>加固后的混凝土构件考虑地震组合的剪力设计值；</w:t>
            </w:r>
          </w:p>
        </w:tc>
      </w:tr>
      <w:tr w14:paraId="019C73B0">
        <w:tblPrEx>
          <w:tblCellMar>
            <w:top w:w="0" w:type="dxa"/>
            <w:left w:w="108" w:type="dxa"/>
            <w:bottom w:w="0" w:type="dxa"/>
            <w:right w:w="108" w:type="dxa"/>
          </w:tblCellMar>
        </w:tblPrEx>
        <w:trPr>
          <w:trHeight w:val="454" w:hRule="atLeast"/>
        </w:trPr>
        <w:tc>
          <w:tcPr>
            <w:tcW w:w="1307" w:type="dxa"/>
          </w:tcPr>
          <w:p w14:paraId="68F2B265">
            <w:pPr>
              <w:pStyle w:val="55"/>
              <w:spacing w:before="31" w:after="31"/>
            </w:pPr>
            <w:r>
              <w:rPr>
                <w:position w:val="-10"/>
              </w:rPr>
              <w:object>
                <v:shape id="_x0000_i1249" o:spt="75" type="#_x0000_t75" style="height:19.9pt;width:15.05pt;" o:ole="t" filled="f" o:preferrelative="t" stroked="f" coordsize="21600,21600">
                  <v:path/>
                  <v:fill on="f" focussize="0,0"/>
                  <v:stroke on="f" joinstyle="miter"/>
                  <v:imagedata r:id="rId444" o:title=""/>
                  <o:lock v:ext="edit" aspectratio="t"/>
                  <w10:wrap type="none"/>
                  <w10:anchorlock/>
                </v:shape>
                <o:OLEObject Type="Embed" ProgID="Equation.DSMT4" ShapeID="_x0000_i1249" DrawAspect="Content" ObjectID="_1468075947" r:id="rId443">
                  <o:LockedField>false</o:LockedField>
                </o:OLEObject>
              </w:object>
            </w:r>
            <w:r>
              <w:t>——</w:t>
            </w:r>
          </w:p>
        </w:tc>
        <w:tc>
          <w:tcPr>
            <w:tcW w:w="6626" w:type="dxa"/>
            <w:tcMar>
              <w:left w:w="0" w:type="dxa"/>
            </w:tcMar>
            <w:vAlign w:val="center"/>
          </w:tcPr>
          <w:p w14:paraId="41B2C0D5">
            <w:pPr>
              <w:pStyle w:val="55"/>
              <w:spacing w:before="31" w:after="31"/>
              <w:jc w:val="left"/>
            </w:pPr>
            <w:r>
              <w:t>原构件混凝土轴心抗压强度设计值；</w:t>
            </w:r>
          </w:p>
        </w:tc>
      </w:tr>
      <w:tr w14:paraId="0FB651B7">
        <w:tblPrEx>
          <w:tblCellMar>
            <w:top w:w="0" w:type="dxa"/>
            <w:left w:w="108" w:type="dxa"/>
            <w:bottom w:w="0" w:type="dxa"/>
            <w:right w:w="108" w:type="dxa"/>
          </w:tblCellMar>
        </w:tblPrEx>
        <w:trPr>
          <w:trHeight w:val="454" w:hRule="atLeast"/>
        </w:trPr>
        <w:tc>
          <w:tcPr>
            <w:tcW w:w="1307" w:type="dxa"/>
          </w:tcPr>
          <w:p w14:paraId="6A0EE547">
            <w:pPr>
              <w:pStyle w:val="55"/>
              <w:spacing w:before="31" w:after="31"/>
            </w:pPr>
            <w:r>
              <w:rPr>
                <w:position w:val="-6"/>
              </w:rPr>
              <w:object>
                <v:shape id="_x0000_i1250" o:spt="75" type="#_x0000_t75" style="height:16.65pt;width:12.35pt;" o:ole="t" filled="f" o:preferrelative="t" stroked="f" coordsize="21600,21600">
                  <v:path/>
                  <v:fill on="f" focussize="0,0"/>
                  <v:stroke on="f" joinstyle="miter"/>
                  <v:imagedata r:id="rId446" o:title=""/>
                  <o:lock v:ext="edit" aspectratio="t"/>
                  <w10:wrap type="none"/>
                  <w10:anchorlock/>
                </v:shape>
                <o:OLEObject Type="Embed" ProgID="Equation.DSMT4" ShapeID="_x0000_i1250" DrawAspect="Content" ObjectID="_1468075948" r:id="rId445">
                  <o:LockedField>false</o:LockedField>
                </o:OLEObject>
              </w:object>
            </w:r>
            <w:r>
              <w:t>——</w:t>
            </w:r>
          </w:p>
        </w:tc>
        <w:tc>
          <w:tcPr>
            <w:tcW w:w="6626" w:type="dxa"/>
            <w:tcMar>
              <w:left w:w="0" w:type="dxa"/>
            </w:tcMar>
            <w:vAlign w:val="center"/>
          </w:tcPr>
          <w:p w14:paraId="587EB36D">
            <w:pPr>
              <w:pStyle w:val="55"/>
              <w:spacing w:before="31" w:after="31"/>
              <w:jc w:val="left"/>
            </w:pPr>
            <w:r>
              <w:t>加固前的梁、柱截面宽度；</w:t>
            </w:r>
          </w:p>
        </w:tc>
      </w:tr>
      <w:tr w14:paraId="4E15D598">
        <w:tblPrEx>
          <w:tblCellMar>
            <w:top w:w="0" w:type="dxa"/>
            <w:left w:w="108" w:type="dxa"/>
            <w:bottom w:w="0" w:type="dxa"/>
            <w:right w:w="108" w:type="dxa"/>
          </w:tblCellMar>
        </w:tblPrEx>
        <w:trPr>
          <w:trHeight w:val="454" w:hRule="atLeast"/>
        </w:trPr>
        <w:tc>
          <w:tcPr>
            <w:tcW w:w="1307" w:type="dxa"/>
            <w:vAlign w:val="center"/>
          </w:tcPr>
          <w:p w14:paraId="60698948">
            <w:pPr>
              <w:pStyle w:val="55"/>
              <w:spacing w:before="31" w:after="31"/>
            </w:pPr>
            <w:r>
              <w:rPr>
                <w:position w:val="-10"/>
              </w:rPr>
              <w:object>
                <v:shape id="_x0000_i1251" o:spt="75" type="#_x0000_t75" style="height:19.9pt;width:15.05pt;" o:ole="t" filled="f" o:preferrelative="t" stroked="f" coordsize="21600,21600">
                  <v:path/>
                  <v:fill on="f" focussize="0,0"/>
                  <v:stroke on="f" joinstyle="miter"/>
                  <v:imagedata r:id="rId297" o:title=""/>
                  <o:lock v:ext="edit" aspectratio="t"/>
                  <w10:wrap type="none"/>
                  <w10:anchorlock/>
                </v:shape>
                <o:OLEObject Type="Embed" ProgID="Equation.DSMT4" ShapeID="_x0000_i1251" DrawAspect="Content" ObjectID="_1468075949" r:id="rId447">
                  <o:LockedField>false</o:LockedField>
                </o:OLEObject>
              </w:object>
            </w:r>
            <w:r>
              <w:t>——</w:t>
            </w:r>
          </w:p>
        </w:tc>
        <w:tc>
          <w:tcPr>
            <w:tcW w:w="6626" w:type="dxa"/>
            <w:tcMar>
              <w:left w:w="0" w:type="dxa"/>
            </w:tcMar>
            <w:vAlign w:val="center"/>
          </w:tcPr>
          <w:p w14:paraId="4BC48B03">
            <w:pPr>
              <w:pStyle w:val="55"/>
              <w:spacing w:before="31" w:after="31"/>
              <w:jc w:val="left"/>
            </w:pPr>
            <w:r>
              <w:t>高延性混凝土面层厚度，双面加固时取其厚度之和；</w:t>
            </w:r>
          </w:p>
        </w:tc>
      </w:tr>
      <w:tr w14:paraId="4A8A9168">
        <w:tblPrEx>
          <w:tblCellMar>
            <w:top w:w="0" w:type="dxa"/>
            <w:left w:w="108" w:type="dxa"/>
            <w:bottom w:w="0" w:type="dxa"/>
            <w:right w:w="108" w:type="dxa"/>
          </w:tblCellMar>
        </w:tblPrEx>
        <w:trPr>
          <w:trHeight w:val="454" w:hRule="atLeast"/>
        </w:trPr>
        <w:tc>
          <w:tcPr>
            <w:tcW w:w="1307" w:type="dxa"/>
          </w:tcPr>
          <w:p w14:paraId="36B00A73">
            <w:pPr>
              <w:pStyle w:val="55"/>
              <w:spacing w:before="31" w:after="31"/>
            </w:pPr>
            <w:r>
              <w:rPr>
                <w:position w:val="-10"/>
              </w:rPr>
              <w:object>
                <v:shape id="_x0000_i1252" o:spt="75" type="#_x0000_t75" style="height:19.9pt;width:15.05pt;" o:ole="t" filled="f" o:preferrelative="t" stroked="f" coordsize="21600,21600">
                  <v:path/>
                  <v:fill on="f" focussize="0,0"/>
                  <v:stroke on="f" joinstyle="miter"/>
                  <v:imagedata r:id="rId299" o:title=""/>
                  <o:lock v:ext="edit" aspectratio="t"/>
                  <w10:wrap type="none"/>
                  <w10:anchorlock/>
                </v:shape>
                <o:OLEObject Type="Embed" ProgID="Equation.DSMT4" ShapeID="_x0000_i1252" DrawAspect="Content" ObjectID="_1468075950" r:id="rId448">
                  <o:LockedField>false</o:LockedField>
                </o:OLEObject>
              </w:object>
            </w:r>
            <w:r>
              <w:t>——</w:t>
            </w:r>
          </w:p>
        </w:tc>
        <w:tc>
          <w:tcPr>
            <w:tcW w:w="6626" w:type="dxa"/>
            <w:tcMar>
              <w:left w:w="0" w:type="dxa"/>
            </w:tcMar>
            <w:vAlign w:val="center"/>
          </w:tcPr>
          <w:p w14:paraId="1A8DBCA4">
            <w:pPr>
              <w:pStyle w:val="55"/>
              <w:spacing w:before="31" w:after="31"/>
              <w:jc w:val="left"/>
            </w:pPr>
            <w:r>
              <w:t>加固后构件截面有效高度；</w:t>
            </w:r>
          </w:p>
        </w:tc>
      </w:tr>
      <w:tr w14:paraId="21C0266A">
        <w:tblPrEx>
          <w:tblCellMar>
            <w:top w:w="0" w:type="dxa"/>
            <w:left w:w="108" w:type="dxa"/>
            <w:bottom w:w="0" w:type="dxa"/>
            <w:right w:w="108" w:type="dxa"/>
          </w:tblCellMar>
        </w:tblPrEx>
        <w:trPr>
          <w:trHeight w:val="454" w:hRule="atLeast"/>
        </w:trPr>
        <w:tc>
          <w:tcPr>
            <w:tcW w:w="1307" w:type="dxa"/>
          </w:tcPr>
          <w:p w14:paraId="40F9149A">
            <w:pPr>
              <w:pStyle w:val="55"/>
              <w:spacing w:before="31" w:after="31"/>
            </w:pPr>
            <w:r>
              <w:rPr>
                <w:position w:val="-10"/>
              </w:rPr>
              <w:object>
                <v:shape id="_x0000_i1253" o:spt="75" type="#_x0000_t75" style="height:19.9pt;width:22.55pt;" o:ole="t" filled="f" o:preferrelative="t" stroked="f" coordsize="21600,21600">
                  <v:path/>
                  <v:fill on="f" focussize="0,0"/>
                  <v:stroke on="f" joinstyle="miter"/>
                  <v:imagedata r:id="rId450" o:title=""/>
                  <o:lock v:ext="edit" aspectratio="t"/>
                  <w10:wrap type="none"/>
                  <w10:anchorlock/>
                </v:shape>
                <o:OLEObject Type="Embed" ProgID="Equation.DSMT4" ShapeID="_x0000_i1253" DrawAspect="Content" ObjectID="_1468075951" r:id="rId449">
                  <o:LockedField>false</o:LockedField>
                </o:OLEObject>
              </w:object>
            </w:r>
            <w:r>
              <w:t>——</w:t>
            </w:r>
          </w:p>
        </w:tc>
        <w:tc>
          <w:tcPr>
            <w:tcW w:w="6626" w:type="dxa"/>
            <w:tcMar>
              <w:left w:w="0" w:type="dxa"/>
            </w:tcMar>
          </w:tcPr>
          <w:p w14:paraId="2E983F46">
            <w:pPr>
              <w:pStyle w:val="55"/>
              <w:spacing w:before="31" w:after="31"/>
              <w:jc w:val="left"/>
            </w:pPr>
            <w:r>
              <w:t>承载力抗震调整系数，按现行国家标准《建筑抗震设计规范》GB 50011的规定取值。</w:t>
            </w:r>
          </w:p>
        </w:tc>
      </w:tr>
    </w:tbl>
    <w:p w14:paraId="638E7D02">
      <w:pPr>
        <w:pStyle w:val="4"/>
      </w:pPr>
      <w:bookmarkStart w:id="680" w:name="_Toc79615809"/>
      <w:bookmarkStart w:id="681" w:name="_Toc8143"/>
      <w:bookmarkStart w:id="682" w:name="_Toc70169752"/>
      <w:bookmarkStart w:id="683" w:name="_Toc8902"/>
      <w:bookmarkStart w:id="684" w:name="_Toc70169832"/>
      <w:bookmarkStart w:id="685" w:name="_Toc18448"/>
      <w:bookmarkStart w:id="686" w:name="_Toc19171"/>
      <w:r>
        <w:rPr>
          <w:b/>
        </w:rPr>
        <w:t>6.</w:t>
      </w:r>
      <w:r>
        <w:rPr>
          <w:rFonts w:hint="eastAsia"/>
          <w:b/>
        </w:rPr>
        <w:t>5</w:t>
      </w:r>
      <w:r>
        <w:rPr>
          <w:b/>
        </w:rPr>
        <w:t>.</w:t>
      </w:r>
      <w:r>
        <w:rPr>
          <w:rFonts w:hint="eastAsia"/>
          <w:b/>
        </w:rPr>
        <w:t>2</w:t>
      </w:r>
      <w:r>
        <w:t xml:space="preserve">  </w:t>
      </w:r>
      <w:r>
        <w:rPr>
          <w:rFonts w:hint="eastAsia"/>
        </w:rPr>
        <w:t>考虑地震作用组合</w:t>
      </w:r>
      <w:r>
        <w:t>时，加固后</w:t>
      </w:r>
      <w:r>
        <w:rPr>
          <w:rFonts w:hint="eastAsia"/>
        </w:rPr>
        <w:t>剪力墙</w:t>
      </w:r>
      <w:r>
        <w:t>的受剪截面应符合下列</w:t>
      </w:r>
      <w:r>
        <w:rPr>
          <w:rFonts w:hint="eastAsia"/>
        </w:rPr>
        <w:t>要求</w:t>
      </w:r>
      <w:r>
        <w:t>：</w:t>
      </w:r>
    </w:p>
    <w:p w14:paraId="6C5EA106">
      <w:pPr>
        <w:ind w:firstLine="422"/>
      </w:pPr>
      <w:r>
        <w:rPr>
          <w:rFonts w:hint="eastAsia"/>
          <w:b/>
          <w:bCs/>
        </w:rPr>
        <w:t xml:space="preserve">1 </w:t>
      </w:r>
      <w:r>
        <w:rPr>
          <w:rFonts w:hint="eastAsia"/>
        </w:rPr>
        <w:t>剪跨比大于2.0</w:t>
      </w:r>
    </w:p>
    <w:p w14:paraId="05544138">
      <w:pPr>
        <w:tabs>
          <w:tab w:val="left" w:pos="2565"/>
        </w:tabs>
        <w:wordWrap w:val="0"/>
        <w:spacing w:after="312" w:line="312" w:lineRule="auto"/>
        <w:ind w:firstLine="560"/>
        <w:jc w:val="right"/>
        <w:rPr>
          <w:rFonts w:cs="Times New Roman"/>
          <w:sz w:val="28"/>
          <w:szCs w:val="28"/>
        </w:rPr>
      </w:pPr>
      <w:r>
        <w:rPr>
          <w:rFonts w:hint="eastAsia" w:ascii="仿宋" w:hAnsi="仿宋" w:eastAsia="仿宋"/>
          <w:position w:val="-28"/>
          <w:sz w:val="28"/>
          <w:szCs w:val="32"/>
        </w:rPr>
        <w:object>
          <v:shape id="_x0000_i1254" o:spt="75" type="#_x0000_t75" style="height:43.5pt;width:200.95pt;" o:ole="t" filled="f" o:preferrelative="t" stroked="f" coordsize="21600,21600">
            <v:path/>
            <v:fill on="f" focussize="0,0"/>
            <v:stroke on="f" joinstyle="miter"/>
            <v:imagedata r:id="rId452" o:title=""/>
            <o:lock v:ext="edit" aspectratio="t"/>
            <w10:wrap type="none"/>
            <w10:anchorlock/>
          </v:shape>
          <o:OLEObject Type="Embed" ProgID="Equation.3" ShapeID="_x0000_i1254" DrawAspect="Content" ObjectID="_1468075952" r:id="rId451">
            <o:LockedField>false</o:LockedField>
          </o:OLEObject>
        </w:object>
      </w:r>
      <w:r>
        <w:t xml:space="preserve">  </w:t>
      </w:r>
      <w:r>
        <w:rPr>
          <w:rFonts w:hint="eastAsia"/>
        </w:rPr>
        <w:t xml:space="preserve">    </w:t>
      </w:r>
      <w:r>
        <w:t xml:space="preserve">  </w:t>
      </w:r>
      <w:r>
        <w:rPr>
          <w:rFonts w:cs="Times New Roman"/>
          <w:sz w:val="28"/>
          <w:szCs w:val="28"/>
        </w:rPr>
        <w:t>（6.</w:t>
      </w:r>
      <w:r>
        <w:rPr>
          <w:rFonts w:hint="eastAsia" w:cs="Times New Roman"/>
          <w:sz w:val="28"/>
          <w:szCs w:val="28"/>
        </w:rPr>
        <w:t>5.2-1</w:t>
      </w:r>
      <w:r>
        <w:rPr>
          <w:rFonts w:cs="Times New Roman"/>
          <w:sz w:val="28"/>
          <w:szCs w:val="28"/>
        </w:rPr>
        <w:t>）</w:t>
      </w:r>
    </w:p>
    <w:p w14:paraId="0C56B353">
      <w:pPr>
        <w:ind w:firstLine="422"/>
      </w:pPr>
      <w:r>
        <w:rPr>
          <w:rFonts w:hint="eastAsia"/>
          <w:b/>
          <w:bCs/>
        </w:rPr>
        <w:t xml:space="preserve">2 </w:t>
      </w:r>
      <w:r>
        <w:rPr>
          <w:rFonts w:hint="eastAsia"/>
        </w:rPr>
        <w:t>剪跨比不大于2.0</w:t>
      </w:r>
    </w:p>
    <w:p w14:paraId="752A308B">
      <w:pPr>
        <w:tabs>
          <w:tab w:val="left" w:pos="2565"/>
        </w:tabs>
        <w:wordWrap w:val="0"/>
        <w:spacing w:after="312" w:line="312" w:lineRule="auto"/>
        <w:ind w:firstLine="560"/>
        <w:jc w:val="right"/>
        <w:rPr>
          <w:rFonts w:cs="Times New Roman"/>
          <w:sz w:val="28"/>
          <w:szCs w:val="28"/>
        </w:rPr>
      </w:pPr>
      <w:r>
        <w:rPr>
          <w:rFonts w:hint="eastAsia" w:ascii="仿宋" w:hAnsi="仿宋" w:eastAsia="仿宋"/>
          <w:position w:val="-28"/>
          <w:sz w:val="28"/>
          <w:szCs w:val="32"/>
        </w:rPr>
        <w:object>
          <v:shape id="_x0000_i1255" o:spt="75" type="#_x0000_t75" style="height:43.5pt;width:208.5pt;" o:ole="t" filled="f" o:preferrelative="t" stroked="f" coordsize="21600,21600">
            <v:path/>
            <v:fill on="f" focussize="0,0"/>
            <v:stroke on="f" joinstyle="miter"/>
            <v:imagedata r:id="rId454" o:title=""/>
            <o:lock v:ext="edit" aspectratio="t"/>
            <w10:wrap type="none"/>
            <w10:anchorlock/>
          </v:shape>
          <o:OLEObject Type="Embed" ProgID="Equation.3" ShapeID="_x0000_i1255" DrawAspect="Content" ObjectID="_1468075953" r:id="rId453">
            <o:LockedField>false</o:LockedField>
          </o:OLEObject>
        </w:object>
      </w:r>
      <w:r>
        <w:t xml:space="preserve">  </w:t>
      </w:r>
      <w:r>
        <w:rPr>
          <w:rFonts w:hint="eastAsia"/>
        </w:rPr>
        <w:t xml:space="preserve">    </w:t>
      </w:r>
      <w:r>
        <w:t xml:space="preserve">  </w:t>
      </w:r>
      <w:r>
        <w:rPr>
          <w:rFonts w:cs="Times New Roman"/>
          <w:sz w:val="28"/>
          <w:szCs w:val="28"/>
        </w:rPr>
        <w:t>（6.</w:t>
      </w:r>
      <w:r>
        <w:rPr>
          <w:rFonts w:hint="eastAsia" w:cs="Times New Roman"/>
          <w:sz w:val="28"/>
          <w:szCs w:val="28"/>
        </w:rPr>
        <w:t>5.2-1</w:t>
      </w:r>
      <w:r>
        <w:rPr>
          <w:rFonts w:cs="Times New Roman"/>
          <w:sz w:val="28"/>
          <w:szCs w:val="28"/>
        </w:rPr>
        <w:t>）</w:t>
      </w:r>
    </w:p>
    <w:p w14:paraId="6E9549F1">
      <w:pPr>
        <w:ind w:firstLine="420"/>
      </w:pPr>
      <w:r>
        <w:t>其</w:t>
      </w:r>
      <w:r>
        <w:rPr>
          <w:rFonts w:hint="eastAsia"/>
        </w:rPr>
        <w:t>抗震</w:t>
      </w:r>
      <w:r>
        <w:t>斜截面受剪承载力应按下列公式验算：</w:t>
      </w:r>
    </w:p>
    <w:p w14:paraId="70428FB8">
      <w:pPr>
        <w:tabs>
          <w:tab w:val="left" w:pos="2565"/>
        </w:tabs>
        <w:wordWrap w:val="0"/>
        <w:spacing w:after="312" w:line="312" w:lineRule="auto"/>
        <w:ind w:firstLine="560"/>
        <w:jc w:val="right"/>
      </w:pPr>
      <w:r>
        <w:rPr>
          <w:rFonts w:hint="eastAsia" w:ascii="仿宋" w:hAnsi="仿宋" w:eastAsia="仿宋"/>
          <w:position w:val="-28"/>
          <w:sz w:val="28"/>
          <w:szCs w:val="32"/>
        </w:rPr>
        <w:object>
          <v:shape id="_x0000_i1256" o:spt="75" type="#_x0000_t75" style="height:43.5pt;width:113.9pt;" o:ole="t" filled="f" o:preferrelative="t" stroked="f" coordsize="21600,21600">
            <v:path/>
            <v:fill on="f" focussize="0,0"/>
            <v:stroke on="f" joinstyle="miter"/>
            <v:imagedata r:id="rId456" o:title=""/>
            <o:lock v:ext="edit" aspectratio="t"/>
            <w10:wrap type="none"/>
            <w10:anchorlock/>
          </v:shape>
          <o:OLEObject Type="Embed" ProgID="Equation.3" ShapeID="_x0000_i1256" DrawAspect="Content" ObjectID="_1468075954" r:id="rId455">
            <o:LockedField>false</o:LockedField>
          </o:OLEObject>
        </w:object>
      </w:r>
      <w:r>
        <w:t xml:space="preserve">   </w:t>
      </w:r>
      <w:r>
        <w:rPr>
          <w:rFonts w:hint="eastAsia"/>
        </w:rPr>
        <w:t xml:space="preserve">          </w:t>
      </w:r>
      <w:r>
        <w:t xml:space="preserve">   </w:t>
      </w:r>
      <w:r>
        <w:rPr>
          <w:rFonts w:cs="Times New Roman"/>
          <w:sz w:val="28"/>
          <w:szCs w:val="28"/>
        </w:rPr>
        <w:t>（6.</w:t>
      </w:r>
      <w:r>
        <w:rPr>
          <w:rFonts w:hint="eastAsia" w:cs="Times New Roman"/>
          <w:sz w:val="28"/>
          <w:szCs w:val="28"/>
        </w:rPr>
        <w:t>5</w:t>
      </w:r>
      <w:r>
        <w:rPr>
          <w:rFonts w:cs="Times New Roman"/>
          <w:sz w:val="28"/>
          <w:szCs w:val="28"/>
        </w:rPr>
        <w:t>.</w:t>
      </w:r>
      <w:r>
        <w:rPr>
          <w:rFonts w:hint="eastAsia" w:cs="Times New Roman"/>
          <w:sz w:val="28"/>
          <w:szCs w:val="28"/>
        </w:rPr>
        <w:t>2-2</w:t>
      </w:r>
      <w:r>
        <w:rPr>
          <w:rFonts w:cs="Times New Roman"/>
          <w:sz w:val="28"/>
          <w:szCs w:val="28"/>
        </w:rPr>
        <w:t>）</w:t>
      </w:r>
    </w:p>
    <w:tbl>
      <w:tblPr>
        <w:tblStyle w:val="28"/>
        <w:tblW w:w="7920" w:type="dxa"/>
        <w:tblInd w:w="108" w:type="dxa"/>
        <w:tblLayout w:type="fixed"/>
        <w:tblCellMar>
          <w:top w:w="0" w:type="dxa"/>
          <w:left w:w="108" w:type="dxa"/>
          <w:bottom w:w="0" w:type="dxa"/>
          <w:right w:w="108" w:type="dxa"/>
        </w:tblCellMar>
      </w:tblPr>
      <w:tblGrid>
        <w:gridCol w:w="1735"/>
        <w:gridCol w:w="6185"/>
      </w:tblGrid>
      <w:tr w14:paraId="7045E7A0">
        <w:tblPrEx>
          <w:tblCellMar>
            <w:top w:w="0" w:type="dxa"/>
            <w:left w:w="108" w:type="dxa"/>
            <w:bottom w:w="0" w:type="dxa"/>
            <w:right w:w="108" w:type="dxa"/>
          </w:tblCellMar>
        </w:tblPrEx>
        <w:trPr>
          <w:trHeight w:val="454" w:hRule="atLeast"/>
        </w:trPr>
        <w:tc>
          <w:tcPr>
            <w:tcW w:w="1735" w:type="dxa"/>
          </w:tcPr>
          <w:p w14:paraId="449078B5">
            <w:pPr>
              <w:pStyle w:val="55"/>
              <w:spacing w:before="31" w:after="31"/>
            </w:pPr>
            <w:r>
              <w:t>式中：</w:t>
            </w:r>
          </w:p>
        </w:tc>
        <w:tc>
          <w:tcPr>
            <w:tcW w:w="6185" w:type="dxa"/>
          </w:tcPr>
          <w:p w14:paraId="7573A320">
            <w:pPr>
              <w:pStyle w:val="55"/>
              <w:spacing w:before="31" w:after="31"/>
            </w:pPr>
          </w:p>
        </w:tc>
      </w:tr>
      <w:tr w14:paraId="514A1002">
        <w:tblPrEx>
          <w:tblCellMar>
            <w:top w:w="0" w:type="dxa"/>
            <w:left w:w="108" w:type="dxa"/>
            <w:bottom w:w="0" w:type="dxa"/>
            <w:right w:w="108" w:type="dxa"/>
          </w:tblCellMar>
        </w:tblPrEx>
        <w:trPr>
          <w:trHeight w:val="454" w:hRule="atLeast"/>
        </w:trPr>
        <w:tc>
          <w:tcPr>
            <w:tcW w:w="1735" w:type="dxa"/>
          </w:tcPr>
          <w:p w14:paraId="44D3DFA2">
            <w:pPr>
              <w:pStyle w:val="55"/>
              <w:spacing w:before="31" w:after="31"/>
            </w:pPr>
            <w:r>
              <w:rPr>
                <w:position w:val="-12"/>
              </w:rPr>
              <w:object>
                <v:shape id="_x0000_i1257" o:spt="75" type="#_x0000_t75" style="height:19.35pt;width:16.1pt;" o:ole="t" filled="f" o:preferrelative="t" stroked="f" coordsize="21600,21600">
                  <v:path/>
                  <v:fill on="f" focussize="0,0"/>
                  <v:stroke on="f" joinstyle="miter"/>
                  <v:imagedata r:id="rId458" o:title=""/>
                  <o:lock v:ext="edit" aspectratio="t"/>
                  <w10:wrap type="none"/>
                  <w10:anchorlock/>
                </v:shape>
                <o:OLEObject Type="Embed" ProgID="Equation.3" ShapeID="_x0000_i1257" DrawAspect="Content" ObjectID="_1468075955" r:id="rId457">
                  <o:LockedField>false</o:LockedField>
                </o:OLEObject>
              </w:object>
            </w:r>
            <w:r>
              <w:t>——</w:t>
            </w:r>
          </w:p>
        </w:tc>
        <w:tc>
          <w:tcPr>
            <w:tcW w:w="6185" w:type="dxa"/>
          </w:tcPr>
          <w:p w14:paraId="0F372318">
            <w:pPr>
              <w:pStyle w:val="55"/>
              <w:spacing w:before="31" w:after="31"/>
            </w:pPr>
            <w:r>
              <w:rPr>
                <w:rFonts w:hint="eastAsia"/>
              </w:rPr>
              <w:t>考虑地震组合</w:t>
            </w:r>
            <w:r>
              <w:t>的</w:t>
            </w:r>
            <w:r>
              <w:rPr>
                <w:rFonts w:hint="eastAsia"/>
              </w:rPr>
              <w:t>加固后剪力墙的</w:t>
            </w:r>
            <w:r>
              <w:t>剪力设计值；</w:t>
            </w:r>
          </w:p>
        </w:tc>
      </w:tr>
      <w:tr w14:paraId="6D4DEE3F">
        <w:tblPrEx>
          <w:tblCellMar>
            <w:top w:w="0" w:type="dxa"/>
            <w:left w:w="108" w:type="dxa"/>
            <w:bottom w:w="0" w:type="dxa"/>
            <w:right w:w="108" w:type="dxa"/>
          </w:tblCellMar>
        </w:tblPrEx>
        <w:trPr>
          <w:trHeight w:val="454" w:hRule="atLeast"/>
        </w:trPr>
        <w:tc>
          <w:tcPr>
            <w:tcW w:w="1735" w:type="dxa"/>
          </w:tcPr>
          <w:p w14:paraId="2154F0B9">
            <w:pPr>
              <w:pStyle w:val="55"/>
              <w:spacing w:before="31" w:after="31"/>
            </w:pPr>
            <w:r>
              <w:rPr>
                <w:position w:val="-10"/>
              </w:rPr>
              <w:object>
                <v:shape id="_x0000_i1258" o:spt="75" type="#_x0000_t75" style="height:19.9pt;width:22.55pt;" o:ole="t" filled="f" o:preferrelative="t" stroked="f" coordsize="21600,21600">
                  <v:path/>
                  <v:fill on="f" focussize="0,0"/>
                  <v:stroke on="f" joinstyle="miter"/>
                  <v:imagedata r:id="rId460" o:title=""/>
                  <o:lock v:ext="edit" aspectratio="t"/>
                  <w10:wrap type="none"/>
                  <w10:anchorlock/>
                </v:shape>
                <o:OLEObject Type="Embed" ProgID="Equation.DSMT4" ShapeID="_x0000_i1258" DrawAspect="Content" ObjectID="_1468075956" r:id="rId459">
                  <o:LockedField>false</o:LockedField>
                </o:OLEObject>
              </w:object>
            </w:r>
            <w:r>
              <w:t>——</w:t>
            </w:r>
          </w:p>
        </w:tc>
        <w:tc>
          <w:tcPr>
            <w:tcW w:w="6185" w:type="dxa"/>
          </w:tcPr>
          <w:p w14:paraId="52A3B46F">
            <w:pPr>
              <w:pStyle w:val="55"/>
              <w:spacing w:before="31" w:after="31"/>
            </w:pPr>
            <w:r>
              <w:t>剪力墙的正截面承载力抗震调整系数，按现行国家标准《混凝土结构设计规范》GB 50010取值。</w:t>
            </w:r>
          </w:p>
        </w:tc>
      </w:tr>
    </w:tbl>
    <w:p w14:paraId="61B9E49D">
      <w:pPr>
        <w:pStyle w:val="3"/>
      </w:pPr>
      <w:bookmarkStart w:id="687" w:name="_Toc207111722"/>
      <w:bookmarkStart w:id="688" w:name="_Toc8421"/>
      <w:bookmarkStart w:id="689" w:name="_Toc7146"/>
      <w:r>
        <w:rPr>
          <w:rFonts w:hint="eastAsia"/>
        </w:rPr>
        <w:t xml:space="preserve">6.6  </w:t>
      </w:r>
      <w:r>
        <w:rPr>
          <w:rFonts w:hint="eastAsia"/>
          <w:bCs/>
        </w:rPr>
        <w:t>构造要求</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14:paraId="33845372">
      <w:pPr>
        <w:pStyle w:val="4"/>
      </w:pPr>
      <w:r>
        <w:rPr>
          <w:rFonts w:hint="eastAsia"/>
          <w:b/>
        </w:rPr>
        <w:t>6.6.1</w:t>
      </w:r>
      <w:r>
        <w:rPr>
          <w:b/>
        </w:rPr>
        <w:t xml:space="preserve"> </w:t>
      </w:r>
      <w:r>
        <w:t xml:space="preserve"> 高延性混凝土面层的最小厚度不应小于15mm</w:t>
      </w:r>
      <w:r>
        <w:rPr>
          <w:rFonts w:hint="eastAsia"/>
        </w:rPr>
        <w:t>；</w:t>
      </w:r>
      <w:r>
        <w:t>当面层厚度大于30mm时，应在面层内增设钢筋。</w:t>
      </w:r>
    </w:p>
    <w:p w14:paraId="76821247">
      <w:pPr>
        <w:pStyle w:val="4"/>
      </w:pPr>
      <w:r>
        <w:rPr>
          <w:rFonts w:hint="eastAsia"/>
          <w:b/>
        </w:rPr>
        <w:t>6.6.2</w:t>
      </w:r>
      <w:r>
        <w:rPr>
          <w:b/>
        </w:rPr>
        <w:t xml:space="preserve"> </w:t>
      </w:r>
      <w:r>
        <w:t xml:space="preserve"> 钢筋宜选用HPB300级、HRB400级普通钢筋；</w:t>
      </w:r>
      <w:r>
        <w:rPr>
          <w:rFonts w:hint="eastAsia"/>
        </w:rPr>
        <w:t>剪力墙的受力钢筋直径不应小于</w:t>
      </w:r>
      <w:r>
        <w:t>10</w:t>
      </w:r>
      <w:r>
        <w:rPr>
          <w:rFonts w:hint="eastAsia"/>
        </w:rPr>
        <w:t>mm，梁的受力钢筋直径不应小于12mm，柱的受力钢筋直径不应小于14mm。</w:t>
      </w:r>
    </w:p>
    <w:p w14:paraId="77043423">
      <w:pPr>
        <w:pStyle w:val="4"/>
      </w:pPr>
      <w:r>
        <w:rPr>
          <w:b/>
        </w:rPr>
        <w:t xml:space="preserve">6.6.3 </w:t>
      </w:r>
      <w:r>
        <w:t>新增箍筋可采用加锚式或胶锚式构造（图6.6.3），</w:t>
      </w:r>
      <w:r>
        <w:rPr>
          <w:rFonts w:hint="eastAsia"/>
        </w:rPr>
        <w:t>并应符合下列规定：</w:t>
      </w:r>
    </w:p>
    <w:p w14:paraId="775116C7">
      <w:pPr>
        <w:ind w:firstLine="422"/>
      </w:pPr>
      <w:r>
        <w:rPr>
          <w:rFonts w:hint="eastAsia"/>
          <w:b/>
          <w:bCs/>
        </w:rPr>
        <w:t>1</w:t>
      </w:r>
      <w:r>
        <w:rPr>
          <w:b/>
          <w:bCs/>
        </w:rPr>
        <w:t xml:space="preserve"> </w:t>
      </w:r>
      <w:r>
        <w:t>直径不应小于8mm，当</w:t>
      </w:r>
      <w:r>
        <w:rPr>
          <w:rFonts w:hint="eastAsia"/>
        </w:rPr>
        <w:t>原</w:t>
      </w:r>
      <w:r>
        <w:t>构件箍筋直径大于8mm时，</w:t>
      </w:r>
      <w:r>
        <w:rPr>
          <w:rFonts w:hint="eastAsia"/>
        </w:rPr>
        <w:t>箍筋</w:t>
      </w:r>
      <w:r>
        <w:t>直径</w:t>
      </w:r>
      <w:r>
        <w:rPr>
          <w:rFonts w:hint="eastAsia"/>
        </w:rPr>
        <w:t>应</w:t>
      </w:r>
      <w:r>
        <w:t>与原箍筋直径相同；分布筋直径不应小于6mm。</w:t>
      </w:r>
    </w:p>
    <w:p w14:paraId="7CE3B811">
      <w:pPr>
        <w:ind w:firstLine="422"/>
      </w:pPr>
      <w:r>
        <w:rPr>
          <w:b/>
          <w:bCs/>
        </w:rPr>
        <w:t xml:space="preserve">2 </w:t>
      </w:r>
      <w:r>
        <w:t>加锚式箍筋应穿过</w:t>
      </w:r>
      <w:r>
        <w:rPr>
          <w:rFonts w:hint="eastAsia"/>
        </w:rPr>
        <w:t>楼板后，与</w:t>
      </w:r>
      <w:r>
        <w:t>钢板采用螺帽拧紧后加点焊连接；</w:t>
      </w:r>
    </w:p>
    <w:tbl>
      <w:tblPr>
        <w:tblStyle w:val="28"/>
        <w:tblW w:w="0" w:type="auto"/>
        <w:tblInd w:w="108" w:type="dxa"/>
        <w:tblLayout w:type="fixed"/>
        <w:tblCellMar>
          <w:top w:w="0" w:type="dxa"/>
          <w:left w:w="108" w:type="dxa"/>
          <w:bottom w:w="0" w:type="dxa"/>
          <w:right w:w="108" w:type="dxa"/>
        </w:tblCellMar>
      </w:tblPr>
      <w:tblGrid>
        <w:gridCol w:w="7934"/>
      </w:tblGrid>
      <w:tr w14:paraId="31BA0B2E">
        <w:tblPrEx>
          <w:tblCellMar>
            <w:top w:w="0" w:type="dxa"/>
            <w:left w:w="108" w:type="dxa"/>
            <w:bottom w:w="0" w:type="dxa"/>
            <w:right w:w="108" w:type="dxa"/>
          </w:tblCellMar>
        </w:tblPrEx>
        <w:tc>
          <w:tcPr>
            <w:tcW w:w="7934" w:type="dxa"/>
            <w:vAlign w:val="bottom"/>
          </w:tcPr>
          <w:p w14:paraId="4719540B">
            <w:pPr>
              <w:pStyle w:val="55"/>
              <w:spacing w:before="31" w:after="31"/>
              <w:rPr>
                <w:kern w:val="0"/>
                <w:sz w:val="20"/>
              </w:rPr>
            </w:pPr>
            <w:r>
              <w:drawing>
                <wp:inline distT="0" distB="0" distL="114300" distR="114300">
                  <wp:extent cx="2816225" cy="2275205"/>
                  <wp:effectExtent l="0" t="0" r="3175" b="10795"/>
                  <wp:docPr id="55"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40"/>
                          <pic:cNvPicPr>
                            <a:picLocks noChangeAspect="1"/>
                          </pic:cNvPicPr>
                        </pic:nvPicPr>
                        <pic:blipFill>
                          <a:blip r:embed="rId461"/>
                          <a:stretch>
                            <a:fillRect/>
                          </a:stretch>
                        </pic:blipFill>
                        <pic:spPr>
                          <a:xfrm>
                            <a:off x="0" y="0"/>
                            <a:ext cx="2816225" cy="2275205"/>
                          </a:xfrm>
                          <a:prstGeom prst="rect">
                            <a:avLst/>
                          </a:prstGeom>
                          <a:noFill/>
                          <a:ln>
                            <a:noFill/>
                          </a:ln>
                        </pic:spPr>
                      </pic:pic>
                    </a:graphicData>
                  </a:graphic>
                </wp:inline>
              </w:drawing>
            </w:r>
          </w:p>
        </w:tc>
      </w:tr>
      <w:tr w14:paraId="7755172E">
        <w:trPr>
          <w:trHeight w:val="330" w:hRule="atLeast"/>
        </w:trPr>
        <w:tc>
          <w:tcPr>
            <w:tcW w:w="7934" w:type="dxa"/>
            <w:vAlign w:val="center"/>
          </w:tcPr>
          <w:p w14:paraId="494BADBD">
            <w:pPr>
              <w:pStyle w:val="55"/>
              <w:spacing w:before="31" w:after="31"/>
              <w:rPr>
                <w:kern w:val="0"/>
                <w:sz w:val="18"/>
                <w:szCs w:val="18"/>
              </w:rPr>
            </w:pPr>
            <w:r>
              <w:rPr>
                <w:rFonts w:cs="Times New Roman"/>
                <w:kern w:val="0"/>
                <w:szCs w:val="21"/>
              </w:rPr>
              <w:t>（a）加锚式箍筋构造</w:t>
            </w:r>
          </w:p>
        </w:tc>
      </w:tr>
      <w:tr w14:paraId="100EFCB9">
        <w:tblPrEx>
          <w:tblCellMar>
            <w:top w:w="0" w:type="dxa"/>
            <w:left w:w="108" w:type="dxa"/>
            <w:bottom w:w="0" w:type="dxa"/>
            <w:right w:w="108" w:type="dxa"/>
          </w:tblCellMar>
        </w:tblPrEx>
        <w:tc>
          <w:tcPr>
            <w:tcW w:w="7934" w:type="dxa"/>
            <w:vAlign w:val="bottom"/>
          </w:tcPr>
          <w:p w14:paraId="166732A7">
            <w:pPr>
              <w:pStyle w:val="55"/>
              <w:spacing w:before="31" w:after="31"/>
              <w:rPr>
                <w:kern w:val="0"/>
                <w:sz w:val="20"/>
              </w:rPr>
            </w:pPr>
            <w:r>
              <w:rPr>
                <w:rFonts w:hint="eastAsia"/>
              </w:rPr>
              <w:t xml:space="preserve">        </w:t>
            </w:r>
            <w:r>
              <w:drawing>
                <wp:inline distT="0" distB="0" distL="114300" distR="114300">
                  <wp:extent cx="2439035" cy="2190750"/>
                  <wp:effectExtent l="0" t="0" r="14605" b="3810"/>
                  <wp:docPr id="58"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43"/>
                          <pic:cNvPicPr>
                            <a:picLocks noChangeAspect="1"/>
                          </pic:cNvPicPr>
                        </pic:nvPicPr>
                        <pic:blipFill>
                          <a:blip r:embed="rId462"/>
                          <a:stretch>
                            <a:fillRect/>
                          </a:stretch>
                        </pic:blipFill>
                        <pic:spPr>
                          <a:xfrm>
                            <a:off x="0" y="0"/>
                            <a:ext cx="2439035" cy="2190750"/>
                          </a:xfrm>
                          <a:prstGeom prst="rect">
                            <a:avLst/>
                          </a:prstGeom>
                          <a:noFill/>
                          <a:ln>
                            <a:noFill/>
                          </a:ln>
                        </pic:spPr>
                      </pic:pic>
                    </a:graphicData>
                  </a:graphic>
                </wp:inline>
              </w:drawing>
            </w:r>
          </w:p>
        </w:tc>
      </w:tr>
      <w:tr w14:paraId="2AC7AB10">
        <w:tblPrEx>
          <w:tblCellMar>
            <w:top w:w="0" w:type="dxa"/>
            <w:left w:w="108" w:type="dxa"/>
            <w:bottom w:w="0" w:type="dxa"/>
            <w:right w:w="108" w:type="dxa"/>
          </w:tblCellMar>
        </w:tblPrEx>
        <w:trPr>
          <w:trHeight w:val="330" w:hRule="atLeast"/>
        </w:trPr>
        <w:tc>
          <w:tcPr>
            <w:tcW w:w="7934" w:type="dxa"/>
            <w:vAlign w:val="center"/>
          </w:tcPr>
          <w:p w14:paraId="2A0206B2">
            <w:pPr>
              <w:pStyle w:val="55"/>
              <w:spacing w:before="31" w:after="31"/>
              <w:rPr>
                <w:rFonts w:cs="Times New Roman"/>
                <w:kern w:val="0"/>
                <w:szCs w:val="21"/>
              </w:rPr>
            </w:pPr>
            <w:r>
              <w:rPr>
                <w:rFonts w:cs="Times New Roman"/>
                <w:kern w:val="0"/>
                <w:szCs w:val="21"/>
              </w:rPr>
              <w:t>（b）胶锚式箍筋构造</w:t>
            </w:r>
          </w:p>
        </w:tc>
      </w:tr>
      <w:tr w14:paraId="477B64EF">
        <w:tblPrEx>
          <w:tblCellMar>
            <w:top w:w="0" w:type="dxa"/>
            <w:left w:w="108" w:type="dxa"/>
            <w:bottom w:w="0" w:type="dxa"/>
            <w:right w:w="108" w:type="dxa"/>
          </w:tblCellMar>
        </w:tblPrEx>
        <w:trPr>
          <w:trHeight w:val="279" w:hRule="atLeast"/>
        </w:trPr>
        <w:tc>
          <w:tcPr>
            <w:tcW w:w="7934" w:type="dxa"/>
            <w:vAlign w:val="center"/>
          </w:tcPr>
          <w:p w14:paraId="48FA5AD4">
            <w:pPr>
              <w:pStyle w:val="55"/>
              <w:spacing w:before="31" w:after="31"/>
              <w:rPr>
                <w:rFonts w:cs="Times New Roman"/>
                <w:szCs w:val="21"/>
              </w:rPr>
            </w:pPr>
            <w:r>
              <w:rPr>
                <w:rFonts w:cs="Times New Roman"/>
                <w:szCs w:val="21"/>
              </w:rPr>
              <w:t>图6.6.3 增大截面法配置新增箍筋的连接构造</w:t>
            </w:r>
          </w:p>
        </w:tc>
      </w:tr>
      <w:tr w14:paraId="0C749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trPr>
        <w:tc>
          <w:tcPr>
            <w:tcW w:w="7934" w:type="dxa"/>
            <w:tcBorders>
              <w:top w:val="nil"/>
              <w:left w:val="nil"/>
              <w:bottom w:val="nil"/>
              <w:right w:val="nil"/>
            </w:tcBorders>
          </w:tcPr>
          <w:p w14:paraId="63DC1092">
            <w:pPr>
              <w:spacing w:after="312" w:line="312" w:lineRule="auto"/>
              <w:ind w:firstLine="420"/>
              <w:jc w:val="center"/>
              <w:rPr>
                <w:rFonts w:cs="Times New Roman"/>
                <w:kern w:val="0"/>
                <w:szCs w:val="21"/>
              </w:rPr>
            </w:pPr>
            <w:r>
              <w:rPr>
                <w:rFonts w:cs="Times New Roman"/>
                <w:kern w:val="0"/>
                <w:szCs w:val="21"/>
              </w:rPr>
              <w:t>1-原钢筋；2-新增受力钢筋；3-加锚式箍筋；4-原箍筋；5-螺栓、螺帽拧紧后加</w:t>
            </w:r>
            <w:r>
              <w:rPr>
                <w:rFonts w:hint="eastAsia" w:cs="Times New Roman"/>
                <w:kern w:val="0"/>
                <w:szCs w:val="21"/>
              </w:rPr>
              <w:t>焊点</w:t>
            </w:r>
            <w:r>
              <w:rPr>
                <w:rFonts w:cs="Times New Roman"/>
                <w:kern w:val="0"/>
                <w:szCs w:val="21"/>
              </w:rPr>
              <w:t>；6-钢板；7-胶锚式箍筋；8-孔中用结构胶锚固；9-高延性混凝土</w:t>
            </w:r>
          </w:p>
        </w:tc>
      </w:tr>
    </w:tbl>
    <w:p w14:paraId="1ACAE562">
      <w:pPr>
        <w:ind w:firstLine="422"/>
      </w:pPr>
      <w:r>
        <w:rPr>
          <w:b/>
        </w:rPr>
        <w:t>3</w:t>
      </w:r>
      <w:r>
        <w:t xml:space="preserve">  胶锚式钢筋的锚固应</w:t>
      </w:r>
      <w:r>
        <w:rPr>
          <w:rFonts w:hint="eastAsia"/>
        </w:rPr>
        <w:t>符合《混凝土结构加固设计规范》GB 50367中关于植筋技术的锚固要求。</w:t>
      </w:r>
    </w:p>
    <w:p w14:paraId="74CEAEC0">
      <w:pPr>
        <w:pStyle w:val="4"/>
      </w:pPr>
      <w:r>
        <w:rPr>
          <w:b/>
        </w:rPr>
        <w:t>6.6.4</w:t>
      </w:r>
      <w:r>
        <w:t xml:space="preserve">  钢筋混凝土剪力墙</w:t>
      </w:r>
      <w:r>
        <w:rPr>
          <w:rFonts w:hint="eastAsia"/>
        </w:rPr>
        <w:t>加固</w:t>
      </w:r>
      <w:r>
        <w:t>构造应</w:t>
      </w:r>
      <w:r>
        <w:rPr>
          <w:rFonts w:hint="eastAsia"/>
        </w:rPr>
        <w:t>符合</w:t>
      </w:r>
      <w:r>
        <w:t>下列</w:t>
      </w:r>
      <w:r>
        <w:rPr>
          <w:rFonts w:hint="eastAsia"/>
        </w:rPr>
        <w:t>规定</w:t>
      </w:r>
      <w:r>
        <w:t>：</w:t>
      </w:r>
    </w:p>
    <w:p w14:paraId="3812E6E6">
      <w:pPr>
        <w:ind w:firstLine="422"/>
        <w:rPr>
          <w:b/>
        </w:rPr>
      </w:pPr>
      <w:r>
        <w:rPr>
          <w:rFonts w:hint="eastAsia"/>
          <w:b/>
        </w:rPr>
        <w:t>1</w:t>
      </w:r>
      <w:r>
        <w:rPr>
          <w:b/>
        </w:rPr>
        <w:t xml:space="preserve">  </w:t>
      </w:r>
      <w:r>
        <w:rPr>
          <w:rFonts w:hint="eastAsia"/>
        </w:rPr>
        <w:t>钢筋直径不应小于6mm，钢筋间距不应大于</w:t>
      </w:r>
      <w:r>
        <w:t>250</w:t>
      </w:r>
      <w:r>
        <w:rPr>
          <w:rFonts w:hint="eastAsia"/>
        </w:rPr>
        <w:t>mm；</w:t>
      </w:r>
    </w:p>
    <w:p w14:paraId="4830D5CD">
      <w:pPr>
        <w:ind w:firstLine="422"/>
        <w:rPr>
          <w:strike/>
        </w:rPr>
      </w:pPr>
      <w:r>
        <w:rPr>
          <w:b/>
        </w:rPr>
        <w:t xml:space="preserve">2 </w:t>
      </w:r>
      <w:r>
        <w:t xml:space="preserve"> </w:t>
      </w:r>
      <w:r>
        <w:rPr>
          <w:rFonts w:hint="eastAsia"/>
        </w:rPr>
        <w:t>钢筋固定方式可采用</w:t>
      </w:r>
      <w:r>
        <w:t>化学植筋</w:t>
      </w:r>
      <w:r>
        <w:rPr>
          <w:rFonts w:hint="eastAsia"/>
        </w:rPr>
        <w:t>，植筋钢筋直径不小于6mm，植筋深度不小于6</w:t>
      </w:r>
      <w:r>
        <w:t>0</w:t>
      </w:r>
      <w:r>
        <w:rPr>
          <w:rFonts w:hint="eastAsia"/>
        </w:rPr>
        <w:t>mm，间距不应大于5</w:t>
      </w:r>
      <w:r>
        <w:t>00</w:t>
      </w:r>
      <w:r>
        <w:rPr>
          <w:rFonts w:hint="eastAsia"/>
        </w:rPr>
        <w:t>mm，应</w:t>
      </w:r>
      <w:r>
        <w:t>采用梅花状布置</w:t>
      </w:r>
      <w:r>
        <w:rPr>
          <w:rFonts w:hint="eastAsia"/>
        </w:rPr>
        <w:t>；化学植筋的结构胶</w:t>
      </w:r>
      <w:r>
        <w:t>应符合现行国家标准《工程结构加固材料安全性鉴定技术规范》GB 50728的有关规定。</w:t>
      </w:r>
    </w:p>
    <w:tbl>
      <w:tblPr>
        <w:tblStyle w:val="28"/>
        <w:tblW w:w="7933" w:type="dxa"/>
        <w:tblInd w:w="111" w:type="dxa"/>
        <w:tblLayout w:type="fixed"/>
        <w:tblCellMar>
          <w:top w:w="0" w:type="dxa"/>
          <w:left w:w="108" w:type="dxa"/>
          <w:bottom w:w="0" w:type="dxa"/>
          <w:right w:w="108" w:type="dxa"/>
        </w:tblCellMar>
      </w:tblPr>
      <w:tblGrid>
        <w:gridCol w:w="7933"/>
      </w:tblGrid>
      <w:tr w14:paraId="1B47922C">
        <w:tblPrEx>
          <w:tblCellMar>
            <w:top w:w="0" w:type="dxa"/>
            <w:left w:w="108" w:type="dxa"/>
            <w:bottom w:w="0" w:type="dxa"/>
            <w:right w:w="108" w:type="dxa"/>
          </w:tblCellMar>
        </w:tblPrEx>
        <w:tc>
          <w:tcPr>
            <w:tcW w:w="7933" w:type="dxa"/>
            <w:vAlign w:val="center"/>
          </w:tcPr>
          <w:p w14:paraId="148707EC">
            <w:pPr>
              <w:pStyle w:val="55"/>
              <w:spacing w:before="31" w:after="31"/>
              <w:rPr>
                <w:sz w:val="18"/>
                <w:szCs w:val="18"/>
              </w:rPr>
            </w:pPr>
            <w:r>
              <w:drawing>
                <wp:inline distT="0" distB="0" distL="114300" distR="114300">
                  <wp:extent cx="2211070" cy="1279525"/>
                  <wp:effectExtent l="0" t="0" r="13970" b="635"/>
                  <wp:docPr id="57"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42"/>
                          <pic:cNvPicPr>
                            <a:picLocks noChangeAspect="1"/>
                          </pic:cNvPicPr>
                        </pic:nvPicPr>
                        <pic:blipFill>
                          <a:blip r:embed="rId463"/>
                          <a:stretch>
                            <a:fillRect/>
                          </a:stretch>
                        </pic:blipFill>
                        <pic:spPr>
                          <a:xfrm>
                            <a:off x="0" y="0"/>
                            <a:ext cx="2211070" cy="1279525"/>
                          </a:xfrm>
                          <a:prstGeom prst="rect">
                            <a:avLst/>
                          </a:prstGeom>
                          <a:noFill/>
                          <a:ln>
                            <a:noFill/>
                          </a:ln>
                        </pic:spPr>
                      </pic:pic>
                    </a:graphicData>
                  </a:graphic>
                </wp:inline>
              </w:drawing>
            </w:r>
          </w:p>
        </w:tc>
      </w:tr>
      <w:tr w14:paraId="00D0A3ED">
        <w:tblPrEx>
          <w:tblCellMar>
            <w:top w:w="0" w:type="dxa"/>
            <w:left w:w="108" w:type="dxa"/>
            <w:bottom w:w="0" w:type="dxa"/>
            <w:right w:w="108" w:type="dxa"/>
          </w:tblCellMar>
        </w:tblPrEx>
        <w:tc>
          <w:tcPr>
            <w:tcW w:w="7933" w:type="dxa"/>
            <w:vAlign w:val="center"/>
          </w:tcPr>
          <w:p w14:paraId="23BF669F">
            <w:pPr>
              <w:pStyle w:val="55"/>
              <w:spacing w:before="31" w:after="31"/>
              <w:rPr>
                <w:rFonts w:cs="Times New Roman"/>
                <w:kern w:val="0"/>
                <w:szCs w:val="21"/>
              </w:rPr>
            </w:pPr>
            <w:r>
              <w:rPr>
                <w:rFonts w:cs="Times New Roman"/>
                <w:szCs w:val="21"/>
              </w:rPr>
              <w:t>图6.6.4</w:t>
            </w:r>
            <w:r>
              <w:rPr>
                <w:rFonts w:hint="eastAsia" w:cs="Times New Roman"/>
                <w:szCs w:val="21"/>
              </w:rPr>
              <w:t xml:space="preserve"> </w:t>
            </w:r>
            <w:r>
              <w:rPr>
                <w:rFonts w:cs="Times New Roman"/>
                <w:szCs w:val="21"/>
              </w:rPr>
              <w:t>配筋高延性混凝土面层加固钢筋混凝土剪力墙构造</w:t>
            </w:r>
          </w:p>
        </w:tc>
      </w:tr>
      <w:tr w14:paraId="328C4100">
        <w:tblPrEx>
          <w:tblCellMar>
            <w:top w:w="0" w:type="dxa"/>
            <w:left w:w="108" w:type="dxa"/>
            <w:bottom w:w="0" w:type="dxa"/>
            <w:right w:w="108" w:type="dxa"/>
          </w:tblCellMar>
        </w:tblPrEx>
        <w:tc>
          <w:tcPr>
            <w:tcW w:w="7933" w:type="dxa"/>
            <w:vAlign w:val="center"/>
          </w:tcPr>
          <w:p w14:paraId="5F2D7D7C">
            <w:pPr>
              <w:pStyle w:val="55"/>
              <w:spacing w:before="31" w:after="31"/>
              <w:rPr>
                <w:rFonts w:cs="Times New Roman"/>
                <w:kern w:val="0"/>
                <w:szCs w:val="21"/>
              </w:rPr>
            </w:pPr>
            <w:r>
              <w:rPr>
                <w:rFonts w:cs="Times New Roman"/>
                <w:kern w:val="0"/>
                <w:szCs w:val="21"/>
              </w:rPr>
              <w:t>高延性混凝土；2-</w:t>
            </w:r>
            <w:r>
              <w:rPr>
                <w:rFonts w:hint="eastAsia" w:cs="Times New Roman"/>
                <w:kern w:val="0"/>
                <w:szCs w:val="21"/>
              </w:rPr>
              <w:t>原剪力墙截面</w:t>
            </w:r>
            <w:r>
              <w:rPr>
                <w:rFonts w:cs="Times New Roman"/>
                <w:kern w:val="0"/>
                <w:szCs w:val="21"/>
              </w:rPr>
              <w:t>；3-</w:t>
            </w:r>
            <w:r>
              <w:rPr>
                <w:rFonts w:hint="eastAsia" w:cs="Times New Roman"/>
                <w:kern w:val="0"/>
                <w:szCs w:val="21"/>
              </w:rPr>
              <w:t>新增水平分布钢筋</w:t>
            </w:r>
            <w:r>
              <w:rPr>
                <w:rFonts w:cs="Times New Roman"/>
                <w:kern w:val="0"/>
                <w:szCs w:val="21"/>
              </w:rPr>
              <w:t>；4-</w:t>
            </w:r>
            <w:r>
              <w:rPr>
                <w:rFonts w:hint="eastAsia" w:cs="Times New Roman"/>
                <w:kern w:val="0"/>
                <w:szCs w:val="21"/>
              </w:rPr>
              <w:t>新增竖向分布钢筋</w:t>
            </w:r>
            <w:r>
              <w:rPr>
                <w:rFonts w:cs="Times New Roman"/>
                <w:kern w:val="0"/>
                <w:szCs w:val="21"/>
              </w:rPr>
              <w:t>；</w:t>
            </w:r>
          </w:p>
          <w:p w14:paraId="6F33D556">
            <w:pPr>
              <w:pStyle w:val="55"/>
              <w:spacing w:before="31" w:after="31"/>
              <w:rPr>
                <w:rFonts w:cs="Times New Roman"/>
                <w:kern w:val="0"/>
                <w:szCs w:val="21"/>
              </w:rPr>
            </w:pPr>
            <w:r>
              <w:rPr>
                <w:rFonts w:hint="eastAsia" w:cs="Times New Roman"/>
                <w:kern w:val="0"/>
                <w:szCs w:val="21"/>
              </w:rPr>
              <w:t>5</w:t>
            </w:r>
            <w:r>
              <w:rPr>
                <w:rFonts w:cs="Times New Roman"/>
                <w:kern w:val="0"/>
                <w:szCs w:val="21"/>
              </w:rPr>
              <w:t>-</w:t>
            </w:r>
            <w:r>
              <w:rPr>
                <w:rFonts w:hint="eastAsia" w:cs="Times New Roman"/>
                <w:kern w:val="0"/>
                <w:szCs w:val="21"/>
              </w:rPr>
              <w:t>L形拉锚筋，梅花状布置，采用化学植筋方式锚固</w:t>
            </w:r>
          </w:p>
        </w:tc>
      </w:tr>
    </w:tbl>
    <w:p w14:paraId="49A6611C">
      <w:pPr>
        <w:pStyle w:val="10"/>
        <w:spacing w:after="156"/>
        <w:ind w:firstLine="562"/>
        <w:rPr>
          <w:rFonts w:eastAsia="黑体"/>
          <w:b/>
          <w:sz w:val="28"/>
          <w:szCs w:val="28"/>
        </w:rPr>
      </w:pPr>
      <w:r>
        <w:rPr>
          <w:rFonts w:eastAsia="黑体"/>
          <w:b/>
          <w:sz w:val="28"/>
          <w:szCs w:val="28"/>
        </w:rPr>
        <w:br w:type="page"/>
      </w:r>
    </w:p>
    <w:p w14:paraId="1E07AB00">
      <w:pPr>
        <w:pStyle w:val="2"/>
        <w:spacing w:after="312"/>
        <w:rPr>
          <w:snapToGrid w:val="0"/>
        </w:rPr>
      </w:pPr>
      <w:bookmarkStart w:id="690" w:name="_Toc207111723"/>
      <w:bookmarkStart w:id="691" w:name="_Toc32009"/>
      <w:bookmarkStart w:id="692" w:name="_Toc2895"/>
      <w:bookmarkStart w:id="693" w:name="_Toc21896"/>
      <w:bookmarkStart w:id="694" w:name="_Toc11049"/>
      <w:bookmarkStart w:id="695" w:name="_Toc11542"/>
      <w:bookmarkStart w:id="696" w:name="_Toc21520"/>
      <w:bookmarkStart w:id="697" w:name="_Toc79615815"/>
      <w:r>
        <w:rPr>
          <w:rFonts w:hint="eastAsia"/>
          <w:snapToGrid w:val="0"/>
        </w:rPr>
        <w:t>7  施工</w:t>
      </w:r>
      <w:bookmarkEnd w:id="690"/>
      <w:bookmarkEnd w:id="691"/>
      <w:bookmarkEnd w:id="692"/>
    </w:p>
    <w:p w14:paraId="25081EAF">
      <w:pPr>
        <w:pStyle w:val="3"/>
      </w:pPr>
      <w:bookmarkStart w:id="698" w:name="_Toc13617"/>
      <w:bookmarkStart w:id="699" w:name="_Toc1707"/>
      <w:bookmarkStart w:id="700" w:name="_Toc207111724"/>
      <w:r>
        <w:rPr>
          <w:rFonts w:hint="eastAsia"/>
        </w:rPr>
        <w:t xml:space="preserve">7.1  </w:t>
      </w:r>
      <w:r>
        <w:rPr>
          <w:rFonts w:hint="eastAsia"/>
          <w:bCs/>
        </w:rPr>
        <w:t>一般规定</w:t>
      </w:r>
      <w:bookmarkEnd w:id="698"/>
      <w:bookmarkEnd w:id="699"/>
      <w:bookmarkEnd w:id="700"/>
    </w:p>
    <w:p w14:paraId="438DE299">
      <w:pPr>
        <w:pStyle w:val="4"/>
      </w:pPr>
      <w:r>
        <w:rPr>
          <w:b/>
        </w:rPr>
        <w:t>7.1.1</w:t>
      </w:r>
      <w:r>
        <w:t xml:space="preserve">  施工技术人员应</w:t>
      </w:r>
      <w:r>
        <w:rPr>
          <w:rFonts w:hint="eastAsia"/>
        </w:rPr>
        <w:t>熟悉</w:t>
      </w:r>
      <w:r>
        <w:t>设计文件和相关产品使用说明书，并</w:t>
      </w:r>
      <w:r>
        <w:rPr>
          <w:rFonts w:hint="eastAsia"/>
        </w:rPr>
        <w:t>应结合</w:t>
      </w:r>
      <w:r>
        <w:t>施工现场</w:t>
      </w:r>
      <w:r>
        <w:rPr>
          <w:rFonts w:hint="eastAsia"/>
        </w:rPr>
        <w:t>条件</w:t>
      </w:r>
      <w:r>
        <w:t>和加固构件的</w:t>
      </w:r>
      <w:r>
        <w:rPr>
          <w:rFonts w:hint="eastAsia"/>
        </w:rPr>
        <w:t>质量状况</w:t>
      </w:r>
      <w:r>
        <w:t>编制专项施工方案。施工</w:t>
      </w:r>
      <w:r>
        <w:rPr>
          <w:rFonts w:hint="eastAsia"/>
        </w:rPr>
        <w:t>作业</w:t>
      </w:r>
      <w:r>
        <w:t>人员应经过技术交底，并应经培训掌握</w:t>
      </w:r>
      <w:r>
        <w:rPr>
          <w:rFonts w:hint="eastAsia"/>
        </w:rPr>
        <w:t>工艺</w:t>
      </w:r>
      <w:r>
        <w:t>操作要领。</w:t>
      </w:r>
    </w:p>
    <w:p w14:paraId="353AE08F">
      <w:pPr>
        <w:pStyle w:val="4"/>
      </w:pPr>
      <w:r>
        <w:rPr>
          <w:b/>
        </w:rPr>
        <w:t>7.1.2</w:t>
      </w:r>
      <w:r>
        <w:t xml:space="preserve">  加固施工前，应对原结构、构件进行清理、修整和</w:t>
      </w:r>
      <w:r>
        <w:rPr>
          <w:rFonts w:hint="eastAsia"/>
        </w:rPr>
        <w:t>安全</w:t>
      </w:r>
      <w:r>
        <w:t>支护</w:t>
      </w:r>
      <w:r>
        <w:rPr>
          <w:rFonts w:hint="eastAsia"/>
        </w:rPr>
        <w:t>。构件</w:t>
      </w:r>
      <w:r>
        <w:t>清理、修整和支护的具体要求应符合现行国家标准《建筑结构加固工程施工质量验收规范》GB 50550的有关规定</w:t>
      </w:r>
      <w:r>
        <w:rPr>
          <w:rFonts w:hint="eastAsia"/>
        </w:rPr>
        <w:t>。</w:t>
      </w:r>
    </w:p>
    <w:p w14:paraId="2EC5AF5B">
      <w:pPr>
        <w:pStyle w:val="4"/>
      </w:pPr>
      <w:bookmarkStart w:id="701" w:name="_Hlk141216538"/>
      <w:r>
        <w:rPr>
          <w:b/>
        </w:rPr>
        <w:t>7.1.</w:t>
      </w:r>
      <w:bookmarkEnd w:id="701"/>
      <w:r>
        <w:rPr>
          <w:b/>
        </w:rPr>
        <w:t>3</w:t>
      </w:r>
      <w:r>
        <w:t xml:space="preserve">  高延性混凝土加固施工工序：</w:t>
      </w:r>
    </w:p>
    <w:p w14:paraId="70E514FD">
      <w:pPr>
        <w:ind w:firstLine="420"/>
      </w:pPr>
      <w:r>
        <w:rPr>
          <w:rFonts w:hint="eastAsia"/>
        </w:rPr>
        <w:t>1  砌体构件加固应按图7</w:t>
      </w:r>
      <w:r>
        <w:t>.1.3-1</w:t>
      </w:r>
      <w:r>
        <w:rPr>
          <w:rFonts w:hint="eastAsia"/>
        </w:rPr>
        <w:t>所示工序进行施工</w:t>
      </w:r>
      <w:r>
        <w:t>：</w:t>
      </w:r>
    </w:p>
    <w:p w14:paraId="1F63336F">
      <w:pPr>
        <w:pStyle w:val="10"/>
        <w:spacing w:after="156"/>
        <w:ind w:firstLine="560"/>
        <w:jc w:val="center"/>
        <w:rPr>
          <w:rFonts w:cs="Times New Roman"/>
          <w:sz w:val="28"/>
          <w:szCs w:val="28"/>
        </w:rPr>
      </w:pPr>
      <w:r>
        <w:rPr>
          <w:rFonts w:hint="eastAsia" w:cs="Times New Roman"/>
          <w:sz w:val="28"/>
          <w:szCs w:val="28"/>
        </w:rPr>
        <w:t xml:space="preserve">       </w:t>
      </w:r>
      <w:r>
        <w:rPr>
          <w:rFonts w:cs="Times New Roman"/>
          <w:sz w:val="28"/>
          <w:szCs w:val="28"/>
        </w:rPr>
        <w:drawing>
          <wp:inline distT="0" distB="0" distL="114300" distR="114300">
            <wp:extent cx="1878965" cy="1722755"/>
            <wp:effectExtent l="0" t="0" r="6985" b="0"/>
            <wp:docPr id="9" name="ECB019B1-382A-4266-B25C-5B523AA43C14-1" descr="C:/Users/Administration/AppData/Local/Temp/wps.oBfdVm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1" descr="C:/Users/Administration/AppData/Local/Temp/wps.oBfdVmwps"/>
                    <pic:cNvPicPr>
                      <a:picLocks noChangeAspect="1"/>
                    </pic:cNvPicPr>
                  </pic:nvPicPr>
                  <pic:blipFill>
                    <a:blip r:embed="rId464"/>
                    <a:srcRect l="11153" t="11285" r="6613" b="7590"/>
                    <a:stretch>
                      <a:fillRect/>
                    </a:stretch>
                  </pic:blipFill>
                  <pic:spPr>
                    <a:xfrm>
                      <a:off x="0" y="0"/>
                      <a:ext cx="1881550" cy="1725409"/>
                    </a:xfrm>
                    <a:prstGeom prst="rect">
                      <a:avLst/>
                    </a:prstGeom>
                  </pic:spPr>
                </pic:pic>
              </a:graphicData>
            </a:graphic>
          </wp:inline>
        </w:drawing>
      </w:r>
    </w:p>
    <w:p w14:paraId="3BB8F72D">
      <w:pPr>
        <w:pStyle w:val="56"/>
      </w:pPr>
      <w:r>
        <w:rPr>
          <w:rFonts w:hint="eastAsia"/>
        </w:rPr>
        <w:t>图7</w:t>
      </w:r>
      <w:r>
        <w:t>.1.3-1</w:t>
      </w:r>
      <w:r>
        <w:rPr>
          <w:rFonts w:hint="eastAsia"/>
        </w:rPr>
        <w:t xml:space="preserve">  砌体构件加固工序流程图</w:t>
      </w:r>
    </w:p>
    <w:p w14:paraId="41EF489F">
      <w:pPr>
        <w:ind w:firstLine="420"/>
      </w:pPr>
      <w:r>
        <w:t xml:space="preserve">2  </w:t>
      </w:r>
      <w:r>
        <w:rPr>
          <w:rFonts w:hint="eastAsia"/>
        </w:rPr>
        <w:t>混凝土构件加固应按图7</w:t>
      </w:r>
      <w:r>
        <w:t>.1.3-</w:t>
      </w:r>
      <w:r>
        <w:rPr>
          <w:rFonts w:hint="eastAsia"/>
        </w:rPr>
        <w:t>2所示工序进行施工</w:t>
      </w:r>
      <w:r>
        <w:t>：</w:t>
      </w:r>
    </w:p>
    <w:p w14:paraId="13C1DC59">
      <w:pPr>
        <w:pStyle w:val="10"/>
        <w:spacing w:after="156"/>
        <w:ind w:firstLine="560"/>
        <w:jc w:val="center"/>
        <w:rPr>
          <w:rFonts w:cs="Times New Roman"/>
          <w:sz w:val="28"/>
          <w:szCs w:val="28"/>
        </w:rPr>
      </w:pPr>
      <w:r>
        <w:rPr>
          <w:rFonts w:hint="eastAsia" w:cs="Times New Roman"/>
          <w:sz w:val="28"/>
          <w:szCs w:val="28"/>
        </w:rPr>
        <w:t xml:space="preserve">       </w:t>
      </w:r>
      <w:r>
        <w:rPr>
          <w:rFonts w:cs="Times New Roman"/>
          <w:sz w:val="28"/>
          <w:szCs w:val="28"/>
        </w:rPr>
        <w:drawing>
          <wp:inline distT="0" distB="0" distL="114300" distR="114300">
            <wp:extent cx="2117090" cy="2038985"/>
            <wp:effectExtent l="0" t="0" r="1270" b="0"/>
            <wp:docPr id="12" name="ECB019B1-382A-4266-B25C-5B523AA43C14-2" descr="C:/Users/Administration/AppData/Local/Temp/wps.DileR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B019B1-382A-4266-B25C-5B523AA43C14-2" descr="C:/Users/Administration/AppData/Local/Temp/wps.DileRjwps"/>
                    <pic:cNvPicPr>
                      <a:picLocks noChangeAspect="1"/>
                    </pic:cNvPicPr>
                  </pic:nvPicPr>
                  <pic:blipFill>
                    <a:blip r:embed="rId465"/>
                    <a:srcRect l="10754" t="8612" r="5702" b="5925"/>
                    <a:stretch>
                      <a:fillRect/>
                    </a:stretch>
                  </pic:blipFill>
                  <pic:spPr>
                    <a:xfrm>
                      <a:off x="0" y="0"/>
                      <a:ext cx="2117090" cy="2038985"/>
                    </a:xfrm>
                    <a:prstGeom prst="rect">
                      <a:avLst/>
                    </a:prstGeom>
                  </pic:spPr>
                </pic:pic>
              </a:graphicData>
            </a:graphic>
          </wp:inline>
        </w:drawing>
      </w:r>
    </w:p>
    <w:p w14:paraId="0F2EFAFB">
      <w:pPr>
        <w:pStyle w:val="56"/>
      </w:pPr>
      <w:bookmarkStart w:id="702" w:name="_Hlk141219386"/>
      <w:r>
        <w:rPr>
          <w:rFonts w:hint="eastAsia"/>
        </w:rPr>
        <w:t>图7</w:t>
      </w:r>
      <w:r>
        <w:t>.1.3-</w:t>
      </w:r>
      <w:r>
        <w:rPr>
          <w:rFonts w:hint="eastAsia"/>
        </w:rPr>
        <w:t>2</w:t>
      </w:r>
      <w:r>
        <w:rPr>
          <w:rStyle w:val="34"/>
          <w:rFonts w:hint="eastAsia"/>
        </w:rPr>
        <w:t xml:space="preserve">  </w:t>
      </w:r>
      <w:r>
        <w:rPr>
          <w:rFonts w:hint="eastAsia"/>
        </w:rPr>
        <w:t>混凝土构件加固工序流程图</w:t>
      </w:r>
    </w:p>
    <w:p w14:paraId="185F2EF3">
      <w:pPr>
        <w:pStyle w:val="4"/>
      </w:pPr>
      <w:r>
        <w:rPr>
          <w:b/>
        </w:rPr>
        <w:t>7.1.4</w:t>
      </w:r>
      <w:bookmarkEnd w:id="702"/>
      <w:r>
        <w:rPr>
          <w:b/>
        </w:rPr>
        <w:t xml:space="preserve">  </w:t>
      </w:r>
      <w:r>
        <w:t>高延性混凝土加固砌体结构施工应进行质量控制</w:t>
      </w:r>
      <w:r>
        <w:rPr>
          <w:rFonts w:hint="eastAsia"/>
        </w:rPr>
        <w:t>，并应符合下列要求：</w:t>
      </w:r>
    </w:p>
    <w:p w14:paraId="1698E9DC">
      <w:pPr>
        <w:ind w:firstLine="422"/>
      </w:pPr>
      <w:r>
        <w:rPr>
          <w:b/>
        </w:rPr>
        <w:t>1</w:t>
      </w:r>
      <w:r>
        <w:t xml:space="preserve">  高延性混凝土应按本规程规定进行现场见证取样复验</w:t>
      </w:r>
      <w:r>
        <w:rPr>
          <w:rFonts w:hint="eastAsia"/>
        </w:rPr>
        <w:t>，其它材料进场复验应符合</w:t>
      </w:r>
      <w:r>
        <w:t>《建筑结构加固工程施工质量验收规范》GB 50550的有关规定；</w:t>
      </w:r>
    </w:p>
    <w:p w14:paraId="03505EA3">
      <w:pPr>
        <w:ind w:firstLine="422"/>
      </w:pPr>
      <w:r>
        <w:rPr>
          <w:b/>
        </w:rPr>
        <w:t>2</w:t>
      </w:r>
      <w:r>
        <w:t xml:space="preserve">  结构加固工程的每道工序均应按本规程及国家现行相关标准的规定进行质量控制</w:t>
      </w:r>
      <w:r>
        <w:rPr>
          <w:rFonts w:hint="eastAsia"/>
        </w:rPr>
        <w:t>，</w:t>
      </w:r>
      <w:r>
        <w:t>每道工序完成后应进行检查验收</w:t>
      </w:r>
      <w:r>
        <w:rPr>
          <w:rFonts w:hint="eastAsia"/>
        </w:rPr>
        <w:t>，</w:t>
      </w:r>
      <w:r>
        <w:t>合格后方允许进</w:t>
      </w:r>
      <w:r>
        <w:rPr>
          <w:rFonts w:hint="eastAsia"/>
        </w:rPr>
        <w:t>入</w:t>
      </w:r>
      <w:r>
        <w:t>下一道工序的施工；</w:t>
      </w:r>
    </w:p>
    <w:p w14:paraId="3D4B5228">
      <w:pPr>
        <w:ind w:firstLine="422"/>
      </w:pPr>
      <w:r>
        <w:rPr>
          <w:b/>
        </w:rPr>
        <w:t>3</w:t>
      </w:r>
      <w:r>
        <w:t xml:space="preserve">  相关专业工种交接时，应进行交接检验，并应经监理工程师检查认可。</w:t>
      </w:r>
    </w:p>
    <w:p w14:paraId="0D9B9231">
      <w:pPr>
        <w:pStyle w:val="4"/>
      </w:pPr>
      <w:bookmarkStart w:id="703" w:name="_Hlk141220564"/>
      <w:r>
        <w:rPr>
          <w:b/>
        </w:rPr>
        <w:t>7.1.5</w:t>
      </w:r>
      <w:bookmarkEnd w:id="703"/>
      <w:r>
        <w:rPr>
          <w:b/>
        </w:rPr>
        <w:t xml:space="preserve">  </w:t>
      </w:r>
      <w:r>
        <w:rPr>
          <w:rFonts w:hint="eastAsia"/>
        </w:rPr>
        <w:t>砌体内埋有水电管线的，应检查嵌填砂浆密实程度，若需要剔除重新嵌填处理的，应采用抹灰砂浆分段处理。</w:t>
      </w:r>
    </w:p>
    <w:p w14:paraId="24441B1F">
      <w:pPr>
        <w:pStyle w:val="4"/>
      </w:pPr>
      <w:r>
        <w:rPr>
          <w:rStyle w:val="40"/>
          <w:bCs/>
          <w:snapToGrid w:val="0"/>
        </w:rPr>
        <w:t xml:space="preserve">7.1.6  </w:t>
      </w:r>
      <w:r>
        <w:rPr>
          <w:rStyle w:val="40"/>
          <w:rFonts w:hint="eastAsia"/>
          <w:bCs/>
          <w:snapToGrid w:val="0"/>
        </w:rPr>
        <w:t>当砌体基材极不平整，高延性混凝土面层收平操作困难时，应及时反馈设计方，可在保证最小加固面层厚度的前提下，加抹抹灰砂浆收平</w:t>
      </w:r>
      <w:r>
        <w:rPr>
          <w:rFonts w:hint="eastAsia"/>
        </w:rPr>
        <w:t>。</w:t>
      </w:r>
    </w:p>
    <w:p w14:paraId="63D14C60">
      <w:pPr>
        <w:pStyle w:val="3"/>
      </w:pPr>
      <w:bookmarkStart w:id="704" w:name="_Toc207111725"/>
      <w:bookmarkStart w:id="705" w:name="_Toc7708"/>
      <w:bookmarkStart w:id="706" w:name="_Toc18610"/>
      <w:r>
        <w:rPr>
          <w:rFonts w:hint="eastAsia"/>
        </w:rPr>
        <w:t>7.</w:t>
      </w:r>
      <w:r>
        <w:t>2</w:t>
      </w:r>
      <w:r>
        <w:rPr>
          <w:rFonts w:hint="eastAsia"/>
        </w:rPr>
        <w:t xml:space="preserve">  施工要点</w:t>
      </w:r>
      <w:bookmarkEnd w:id="704"/>
      <w:bookmarkEnd w:id="705"/>
      <w:bookmarkEnd w:id="706"/>
    </w:p>
    <w:p w14:paraId="6F6BF017">
      <w:pPr>
        <w:pStyle w:val="4"/>
        <w:rPr>
          <w:b/>
        </w:rPr>
      </w:pPr>
      <w:r>
        <w:rPr>
          <w:b/>
        </w:rPr>
        <w:t xml:space="preserve">7.2.1  </w:t>
      </w:r>
      <w:r>
        <w:rPr>
          <w:rFonts w:hint="eastAsia"/>
        </w:rPr>
        <w:t>施工准备应符合下列要求：</w:t>
      </w:r>
    </w:p>
    <w:p w14:paraId="1AE68DCE">
      <w:pPr>
        <w:ind w:firstLine="422"/>
      </w:pPr>
      <w:r>
        <w:rPr>
          <w:b/>
        </w:rPr>
        <w:t>1</w:t>
      </w:r>
      <w:r>
        <w:t xml:space="preserve">  施工单位</w:t>
      </w:r>
      <w:r>
        <w:rPr>
          <w:rFonts w:hint="eastAsia"/>
        </w:rPr>
        <w:t>应</w:t>
      </w:r>
      <w:r>
        <w:t>认真熟悉图纸，参加相关单位组织的设计交底，并结合施工情况</w:t>
      </w:r>
      <w:r>
        <w:rPr>
          <w:rFonts w:hint="eastAsia"/>
        </w:rPr>
        <w:t>提</w:t>
      </w:r>
      <w:r>
        <w:t>出合理建议。</w:t>
      </w:r>
    </w:p>
    <w:p w14:paraId="19DADD99">
      <w:pPr>
        <w:ind w:firstLine="422"/>
      </w:pPr>
      <w:r>
        <w:rPr>
          <w:b/>
        </w:rPr>
        <w:t>2</w:t>
      </w:r>
      <w:r>
        <w:t xml:space="preserve">  加固施工使用的机具应满足施工需要，且性能应稳定可靠。</w:t>
      </w:r>
    </w:p>
    <w:p w14:paraId="7C73EE2D">
      <w:pPr>
        <w:ind w:firstLine="422"/>
      </w:pPr>
      <w:r>
        <w:rPr>
          <w:b/>
        </w:rPr>
        <w:t>3</w:t>
      </w:r>
      <w:r>
        <w:t xml:space="preserve">  加固施工过程中应做好安全防护工作，作业人员应正确使用</w:t>
      </w:r>
      <w:r>
        <w:rPr>
          <w:rFonts w:hint="eastAsia"/>
        </w:rPr>
        <w:t>劳动保</w:t>
      </w:r>
      <w:r>
        <w:t>护用品。</w:t>
      </w:r>
    </w:p>
    <w:p w14:paraId="06852C03">
      <w:pPr>
        <w:ind w:firstLine="422"/>
      </w:pPr>
      <w:bookmarkStart w:id="707" w:name="_Hlk141221428"/>
      <w:r>
        <w:rPr>
          <w:b/>
        </w:rPr>
        <w:t xml:space="preserve">4 </w:t>
      </w:r>
      <w:bookmarkEnd w:id="707"/>
      <w:r>
        <w:t xml:space="preserve"> 施工脚手架应符合施工方案要求，并符合《施工脚手架通用规范》GB 55023-2022标准要求，搭设完成</w:t>
      </w:r>
      <w:r>
        <w:rPr>
          <w:rFonts w:hint="eastAsia"/>
        </w:rPr>
        <w:t>应</w:t>
      </w:r>
      <w:r>
        <w:t>经验收合格方可使用。</w:t>
      </w:r>
    </w:p>
    <w:p w14:paraId="3DF625B7">
      <w:pPr>
        <w:ind w:firstLine="422"/>
      </w:pPr>
      <w:r>
        <w:rPr>
          <w:b/>
        </w:rPr>
        <w:t>5</w:t>
      </w:r>
      <w:r>
        <w:rPr>
          <w:rFonts w:hint="eastAsia"/>
        </w:rPr>
        <w:t xml:space="preserve"> </w:t>
      </w:r>
      <w:r>
        <w:t xml:space="preserve"> 宜在施工现场加固构件旁采用相同材料</w:t>
      </w:r>
      <w:r>
        <w:rPr>
          <w:rFonts w:hint="eastAsia"/>
        </w:rPr>
        <w:t>预先</w:t>
      </w:r>
      <w:r>
        <w:t>制作施工样板。</w:t>
      </w:r>
    </w:p>
    <w:p w14:paraId="2711A0EB">
      <w:pPr>
        <w:pStyle w:val="4"/>
      </w:pPr>
      <w:r>
        <w:rPr>
          <w:b/>
        </w:rPr>
        <w:t>7.2.2</w:t>
      </w:r>
      <w:r>
        <w:t xml:space="preserve">  采用高延性混凝土增大截面加固法加固混凝土结构构件时，设计文件应对界面处理方法和质量提出要求。原构件混凝土表面应予以</w:t>
      </w:r>
      <w:r>
        <w:rPr>
          <w:rFonts w:hint="eastAsia"/>
        </w:rPr>
        <w:t>全面</w:t>
      </w:r>
      <w:r>
        <w:t>凿毛处理，完整凿除表层混凝土的深度不应小于5mm，且凿毛后的表面凹凸差不</w:t>
      </w:r>
      <w:r>
        <w:rPr>
          <w:rFonts w:hint="eastAsia"/>
        </w:rPr>
        <w:t>宜</w:t>
      </w:r>
      <w:r>
        <w:t>小于5mm</w:t>
      </w:r>
      <w:r>
        <w:rPr>
          <w:rFonts w:hint="eastAsia"/>
        </w:rPr>
        <w:t>。对于新老结合界面有较高抗剪受力要求的，宜通过混凝土开凿形成抗剪键或植入适量抗剪钢筋</w:t>
      </w:r>
      <w:r>
        <w:t>。</w:t>
      </w:r>
    </w:p>
    <w:p w14:paraId="6A571D21">
      <w:pPr>
        <w:pStyle w:val="4"/>
      </w:pPr>
      <w:r>
        <w:rPr>
          <w:b/>
        </w:rPr>
        <w:t>7.2.3</w:t>
      </w:r>
      <w:r>
        <w:t xml:space="preserve">  </w:t>
      </w:r>
      <w:r>
        <w:rPr>
          <w:rFonts w:hint="eastAsia"/>
        </w:rPr>
        <w:t>砌体</w:t>
      </w:r>
      <w:r>
        <w:t>构件表面碱蚀严重时，应先</w:t>
      </w:r>
      <w:r>
        <w:rPr>
          <w:rFonts w:hint="eastAsia"/>
        </w:rPr>
        <w:t>剔</w:t>
      </w:r>
      <w:r>
        <w:t>除</w:t>
      </w:r>
      <w:r>
        <w:rPr>
          <w:rFonts w:hint="eastAsia"/>
        </w:rPr>
        <w:t>酥松</w:t>
      </w:r>
      <w:r>
        <w:t>部分并用高延性混凝土修补。</w:t>
      </w:r>
      <w:r>
        <w:rPr>
          <w:rFonts w:hint="eastAsia"/>
        </w:rPr>
        <w:t>砌体存在</w:t>
      </w:r>
      <w:r>
        <w:t>裂缝</w:t>
      </w:r>
      <w:r>
        <w:rPr>
          <w:rFonts w:hint="eastAsia"/>
        </w:rPr>
        <w:t>等</w:t>
      </w:r>
      <w:r>
        <w:t>损伤</w:t>
      </w:r>
      <w:r>
        <w:rPr>
          <w:rFonts w:hint="eastAsia"/>
        </w:rPr>
        <w:t>的</w:t>
      </w:r>
      <w:r>
        <w:t>，应逐</w:t>
      </w:r>
      <w:r>
        <w:rPr>
          <w:rFonts w:hint="eastAsia"/>
        </w:rPr>
        <w:t>一剔槽灌水泥浆</w:t>
      </w:r>
      <w:r>
        <w:t>修补</w:t>
      </w:r>
      <w:r>
        <w:rPr>
          <w:rFonts w:hint="eastAsia"/>
        </w:rPr>
        <w:t>，对裂缝较密集部位</w:t>
      </w:r>
      <w:r>
        <w:t>，应进行局部拆砌。</w:t>
      </w:r>
    </w:p>
    <w:p w14:paraId="2B0558F3">
      <w:pPr>
        <w:pStyle w:val="4"/>
      </w:pPr>
      <w:r>
        <w:rPr>
          <w:b/>
        </w:rPr>
        <w:t>7.2.4</w:t>
      </w:r>
      <w:r>
        <w:t xml:space="preserve">  当设计需要</w:t>
      </w:r>
      <w:r>
        <w:rPr>
          <w:rFonts w:hint="eastAsia"/>
        </w:rPr>
        <w:t>植入</w:t>
      </w:r>
      <w:r>
        <w:t>钢筋、拉结筋或剪切销钉时，其制作和安装的施工要求应符合现行国家标准《建筑结构加固工程施工质量验收规范》GB 50550</w:t>
      </w:r>
      <w:r>
        <w:rPr>
          <w:rFonts w:hint="eastAsia"/>
        </w:rPr>
        <w:t>中</w:t>
      </w:r>
      <w:r>
        <w:t>植筋</w:t>
      </w:r>
      <w:r>
        <w:rPr>
          <w:rFonts w:hint="eastAsia"/>
        </w:rPr>
        <w:t>施工</w:t>
      </w:r>
      <w:r>
        <w:t>的有关规定。</w:t>
      </w:r>
    </w:p>
    <w:p w14:paraId="07323394">
      <w:pPr>
        <w:pStyle w:val="4"/>
      </w:pPr>
      <w:r>
        <w:rPr>
          <w:b/>
        </w:rPr>
        <w:t>7.2.</w:t>
      </w:r>
      <w:r>
        <w:rPr>
          <w:rFonts w:hint="eastAsia"/>
          <w:b/>
        </w:rPr>
        <w:t>5</w:t>
      </w:r>
      <w:r>
        <w:t xml:space="preserve">  高延性混凝土</w:t>
      </w:r>
      <w:r>
        <w:rPr>
          <w:rFonts w:hint="eastAsia"/>
        </w:rPr>
        <w:t>施工</w:t>
      </w:r>
      <w:r>
        <w:t>前，应提前对构件表面浇水湿润，并待构件表面湿润无明水后再进行施工。</w:t>
      </w:r>
    </w:p>
    <w:p w14:paraId="2BF16B51">
      <w:pPr>
        <w:pStyle w:val="4"/>
      </w:pPr>
      <w:r>
        <w:rPr>
          <w:b/>
        </w:rPr>
        <w:t>7.2.</w:t>
      </w:r>
      <w:r>
        <w:rPr>
          <w:rFonts w:hint="eastAsia"/>
          <w:b/>
        </w:rPr>
        <w:t>6</w:t>
      </w:r>
      <w:r>
        <w:t xml:space="preserve">  高延性混凝土应采用强制式搅拌机搅拌，搅拌机转速不宜小于45r/min</w:t>
      </w:r>
      <w:r>
        <w:rPr>
          <w:rFonts w:hint="eastAsia"/>
        </w:rPr>
        <w:t>。</w:t>
      </w:r>
    </w:p>
    <w:p w14:paraId="67AEBEE4">
      <w:pPr>
        <w:pStyle w:val="4"/>
      </w:pPr>
      <w:r>
        <w:rPr>
          <w:b/>
        </w:rPr>
        <w:t>7.2.</w:t>
      </w:r>
      <w:r>
        <w:rPr>
          <w:rFonts w:hint="eastAsia"/>
          <w:b/>
        </w:rPr>
        <w:t>7</w:t>
      </w:r>
      <w:r>
        <w:t xml:space="preserve">  ，高延性混凝土应在施工现场按照产品使用说明加水搅拌</w:t>
      </w:r>
      <w:r>
        <w:rPr>
          <w:rFonts w:hint="eastAsia"/>
        </w:rPr>
        <w:t>，拌合时间不宜小于5min，拌合后的稠度应符合本规程第4.2.3条的规定。</w:t>
      </w:r>
      <w:bookmarkStart w:id="708" w:name="_Hlk141220048"/>
    </w:p>
    <w:p w14:paraId="35DE2112">
      <w:pPr>
        <w:pStyle w:val="4"/>
      </w:pPr>
      <w:r>
        <w:rPr>
          <w:b/>
        </w:rPr>
        <w:t>7.2.</w:t>
      </w:r>
      <w:bookmarkEnd w:id="708"/>
      <w:r>
        <w:rPr>
          <w:rFonts w:hint="eastAsia"/>
          <w:b/>
        </w:rPr>
        <w:t>8</w:t>
      </w:r>
      <w:r>
        <w:t xml:space="preserve">  墙体</w:t>
      </w:r>
      <w:r>
        <w:rPr>
          <w:rFonts w:hint="eastAsia"/>
        </w:rPr>
        <w:t>阴阳</w:t>
      </w:r>
      <w:r>
        <w:t>角处、高延性混凝土相交处以及高延性混凝土加腋部位应连续</w:t>
      </w:r>
      <w:r>
        <w:rPr>
          <w:rFonts w:hint="eastAsia"/>
        </w:rPr>
        <w:t>抹压</w:t>
      </w:r>
      <w:r>
        <w:t>。当面层厚度大于15mm时，可分层</w:t>
      </w:r>
      <w:r>
        <w:rPr>
          <w:rFonts w:hint="eastAsia"/>
        </w:rPr>
        <w:t>抹压</w:t>
      </w:r>
      <w:r>
        <w:t>，单次</w:t>
      </w:r>
      <w:r>
        <w:rPr>
          <w:rFonts w:hint="eastAsia"/>
        </w:rPr>
        <w:t>抹压</w:t>
      </w:r>
      <w:r>
        <w:t>厚度不宜超过15mm</w:t>
      </w:r>
      <w:r>
        <w:rPr>
          <w:rFonts w:hint="eastAsia"/>
        </w:rPr>
        <w:t>；当高延性混凝土用于砌体结构加固时，</w:t>
      </w:r>
      <w:r>
        <w:t>后一层</w:t>
      </w:r>
      <w:r>
        <w:rPr>
          <w:rFonts w:hint="eastAsia"/>
        </w:rPr>
        <w:t>抹压</w:t>
      </w:r>
      <w:r>
        <w:t>应在前一层</w:t>
      </w:r>
      <w:r>
        <w:rPr>
          <w:rFonts w:hint="eastAsia"/>
        </w:rPr>
        <w:t>抹压</w:t>
      </w:r>
      <w:r>
        <w:t>后</w:t>
      </w:r>
      <w:r>
        <w:rPr>
          <w:rFonts w:hint="eastAsia"/>
        </w:rPr>
        <w:t>2</w:t>
      </w:r>
      <w:r>
        <w:t>h内进行</w:t>
      </w:r>
      <w:r>
        <w:rPr>
          <w:rFonts w:hint="eastAsia"/>
        </w:rPr>
        <w:t>，当高延性混凝土用于混凝土结构加固时，</w:t>
      </w:r>
      <w:r>
        <w:t>后一层</w:t>
      </w:r>
      <w:r>
        <w:rPr>
          <w:rFonts w:hint="eastAsia"/>
        </w:rPr>
        <w:t>抹压</w:t>
      </w:r>
      <w:r>
        <w:t>应在前一层</w:t>
      </w:r>
      <w:r>
        <w:rPr>
          <w:rFonts w:hint="eastAsia"/>
        </w:rPr>
        <w:t>抹压</w:t>
      </w:r>
      <w:r>
        <w:t>后4h内进行</w:t>
      </w:r>
      <w:r>
        <w:rPr>
          <w:rFonts w:hint="eastAsia"/>
        </w:rPr>
        <w:t>；</w:t>
      </w:r>
      <w:r>
        <w:t>最后一层之前</w:t>
      </w:r>
      <w:r>
        <w:rPr>
          <w:rFonts w:hint="eastAsia"/>
        </w:rPr>
        <w:t>抹压</w:t>
      </w:r>
      <w:r>
        <w:t>的高延性混凝土</w:t>
      </w:r>
      <w:r>
        <w:rPr>
          <w:rFonts w:hint="eastAsia"/>
        </w:rPr>
        <w:t>层</w:t>
      </w:r>
      <w:r>
        <w:t>面不宜收</w:t>
      </w:r>
      <w:r>
        <w:rPr>
          <w:rFonts w:hint="eastAsia"/>
        </w:rPr>
        <w:t>平</w:t>
      </w:r>
      <w:r>
        <w:t>。</w:t>
      </w:r>
    </w:p>
    <w:p w14:paraId="25A78D20">
      <w:pPr>
        <w:pStyle w:val="4"/>
      </w:pPr>
      <w:r>
        <w:rPr>
          <w:rFonts w:hint="eastAsia"/>
          <w:b/>
        </w:rPr>
        <w:t>7.2.9</w:t>
      </w:r>
      <w:r>
        <w:rPr>
          <w:rFonts w:hint="eastAsia"/>
        </w:rPr>
        <w:t xml:space="preserve">  高延性混凝土拌合物宜</w:t>
      </w:r>
      <w:r>
        <w:t>在</w:t>
      </w:r>
      <w:r>
        <w:rPr>
          <w:rFonts w:hint="eastAsia"/>
        </w:rPr>
        <w:t>2h</w:t>
      </w:r>
      <w:r>
        <w:t>内用完</w:t>
      </w:r>
      <w:r>
        <w:rPr>
          <w:rFonts w:hint="eastAsia"/>
        </w:rPr>
        <w:t>。当施工</w:t>
      </w:r>
      <w:r>
        <w:t>温度高于30℃</w:t>
      </w:r>
      <w:r>
        <w:rPr>
          <w:rFonts w:hint="eastAsia"/>
        </w:rPr>
        <w:t>时，高延性混凝土拌合物宜</w:t>
      </w:r>
      <w:r>
        <w:t>在</w:t>
      </w:r>
      <w:r>
        <w:rPr>
          <w:rFonts w:hint="eastAsia"/>
        </w:rPr>
        <w:t>1h</w:t>
      </w:r>
      <w:r>
        <w:t>内用完</w:t>
      </w:r>
      <w:r>
        <w:rPr>
          <w:rFonts w:hint="eastAsia"/>
        </w:rPr>
        <w:t>。</w:t>
      </w:r>
    </w:p>
    <w:p w14:paraId="27DDD972">
      <w:pPr>
        <w:pStyle w:val="4"/>
      </w:pPr>
      <w:r>
        <w:rPr>
          <w:b/>
        </w:rPr>
        <w:t>7.2.10</w:t>
      </w:r>
      <w:r>
        <w:rPr>
          <w:rFonts w:hint="eastAsia"/>
          <w:b/>
        </w:rPr>
        <w:t xml:space="preserve">  </w:t>
      </w:r>
      <w:r>
        <w:t>高延性混凝土</w:t>
      </w:r>
      <w:r>
        <w:rPr>
          <w:rFonts w:hint="eastAsia"/>
        </w:rPr>
        <w:t>施工</w:t>
      </w:r>
      <w:r>
        <w:t>完成后，应及时进行保湿养护，养护时间不应少于7d。</w:t>
      </w:r>
    </w:p>
    <w:p w14:paraId="04EBB592">
      <w:pPr>
        <w:pStyle w:val="3"/>
      </w:pPr>
      <w:bookmarkStart w:id="709" w:name="_Toc207111726"/>
      <w:bookmarkStart w:id="710" w:name="_Toc2521"/>
      <w:bookmarkStart w:id="711" w:name="_Toc29701"/>
      <w:r>
        <w:rPr>
          <w:rFonts w:hint="eastAsia"/>
        </w:rPr>
        <w:t>7.</w:t>
      </w:r>
      <w:r>
        <w:t>3</w:t>
      </w:r>
      <w:r>
        <w:rPr>
          <w:rFonts w:hint="eastAsia"/>
        </w:rPr>
        <w:t xml:space="preserve">  </w:t>
      </w:r>
      <w:r>
        <w:rPr>
          <w:rFonts w:hint="eastAsia"/>
          <w:bCs/>
        </w:rPr>
        <w:t>季节性施工</w:t>
      </w:r>
      <w:bookmarkEnd w:id="709"/>
      <w:bookmarkEnd w:id="710"/>
      <w:bookmarkEnd w:id="711"/>
    </w:p>
    <w:p w14:paraId="75D7C54D">
      <w:pPr>
        <w:pStyle w:val="4"/>
      </w:pPr>
      <w:bookmarkStart w:id="712" w:name="_Toc22301650"/>
      <w:r>
        <w:rPr>
          <w:b/>
        </w:rPr>
        <w:t>7.</w:t>
      </w:r>
      <w:r>
        <w:rPr>
          <w:rFonts w:hint="eastAsia"/>
          <w:b/>
        </w:rPr>
        <w:t>3</w:t>
      </w:r>
      <w:r>
        <w:rPr>
          <w:b/>
        </w:rPr>
        <w:t>.1</w:t>
      </w:r>
      <w:r>
        <w:rPr>
          <w:rFonts w:hint="eastAsia"/>
          <w:b/>
        </w:rPr>
        <w:t xml:space="preserve">  </w:t>
      </w:r>
      <w:r>
        <w:rPr>
          <w:rFonts w:hint="eastAsia"/>
        </w:rPr>
        <w:t>冬期施工应符合</w:t>
      </w:r>
      <w:r>
        <w:t>JGJ/T 104</w:t>
      </w:r>
      <w:r>
        <w:rPr>
          <w:rFonts w:hint="eastAsia"/>
        </w:rPr>
        <w:t>的有关规定，并应采取保温措施。高延性混凝土施工环境温度不宜低于</w:t>
      </w:r>
      <w:r>
        <w:t xml:space="preserve">5 </w:t>
      </w:r>
      <w:r>
        <w:rPr>
          <w:rFonts w:hint="eastAsia"/>
        </w:rPr>
        <w:t>℃；当施工环境温度低于</w:t>
      </w:r>
      <w:r>
        <w:t xml:space="preserve">5 </w:t>
      </w:r>
      <w:r>
        <w:rPr>
          <w:rFonts w:hint="eastAsia"/>
        </w:rPr>
        <w:t>℃时，应采取措施提升环境温度</w:t>
      </w:r>
      <w:r>
        <w:t>。</w:t>
      </w:r>
      <w:bookmarkEnd w:id="712"/>
    </w:p>
    <w:p w14:paraId="71B90CB6">
      <w:pPr>
        <w:pStyle w:val="4"/>
      </w:pPr>
      <w:bookmarkStart w:id="713" w:name="_Toc22301651"/>
      <w:r>
        <w:rPr>
          <w:b/>
        </w:rPr>
        <w:t>7.</w:t>
      </w:r>
      <w:r>
        <w:rPr>
          <w:rFonts w:hint="eastAsia"/>
          <w:b/>
        </w:rPr>
        <w:t>3</w:t>
      </w:r>
      <w:r>
        <w:rPr>
          <w:b/>
        </w:rPr>
        <w:t>.</w:t>
      </w:r>
      <w:r>
        <w:rPr>
          <w:rFonts w:hint="eastAsia"/>
          <w:b/>
        </w:rPr>
        <w:t xml:space="preserve">2  </w:t>
      </w:r>
      <w:r>
        <w:rPr>
          <w:rFonts w:hint="eastAsia"/>
        </w:rPr>
        <w:t>冬期施工时，当环境温度低于0 ℃时不宜浇水养护</w:t>
      </w:r>
      <w:r>
        <w:t>。</w:t>
      </w:r>
      <w:bookmarkEnd w:id="713"/>
    </w:p>
    <w:p w14:paraId="63299821">
      <w:pPr>
        <w:pStyle w:val="4"/>
      </w:pPr>
      <w:bookmarkStart w:id="714" w:name="_Toc22301652"/>
      <w:r>
        <w:rPr>
          <w:b/>
        </w:rPr>
        <w:t>7.</w:t>
      </w:r>
      <w:r>
        <w:rPr>
          <w:rFonts w:hint="eastAsia"/>
          <w:b/>
        </w:rPr>
        <w:t>3</w:t>
      </w:r>
      <w:r>
        <w:rPr>
          <w:b/>
        </w:rPr>
        <w:t>.</w:t>
      </w:r>
      <w:r>
        <w:rPr>
          <w:rFonts w:hint="eastAsia"/>
          <w:b/>
        </w:rPr>
        <w:t xml:space="preserve">3  </w:t>
      </w:r>
      <w:r>
        <w:rPr>
          <w:rFonts w:hint="eastAsia"/>
        </w:rPr>
        <w:t>雨天不宜进行外墙高延性混凝土施工；确需施工时，应采取防雨措施，且高延性混凝土终凝前不应受雨淋</w:t>
      </w:r>
      <w:r>
        <w:t>。</w:t>
      </w:r>
      <w:bookmarkEnd w:id="714"/>
    </w:p>
    <w:p w14:paraId="4DBE0720">
      <w:pPr>
        <w:pStyle w:val="4"/>
      </w:pPr>
      <w:bookmarkStart w:id="715" w:name="_Toc22301653"/>
      <w:r>
        <w:rPr>
          <w:b/>
        </w:rPr>
        <w:t>7.</w:t>
      </w:r>
      <w:r>
        <w:rPr>
          <w:rFonts w:hint="eastAsia"/>
          <w:b/>
        </w:rPr>
        <w:t>3</w:t>
      </w:r>
      <w:r>
        <w:rPr>
          <w:b/>
        </w:rPr>
        <w:t>.</w:t>
      </w:r>
      <w:r>
        <w:rPr>
          <w:rFonts w:hint="eastAsia"/>
          <w:b/>
        </w:rPr>
        <w:t xml:space="preserve">4  </w:t>
      </w:r>
      <w:r>
        <w:rPr>
          <w:rFonts w:hint="eastAsia"/>
        </w:rPr>
        <w:t>在大风天气，不宜进行室外高延性混凝土施工；进行室内高延性混凝土施工时，宜对门窗进行封闭。</w:t>
      </w:r>
      <w:r>
        <w:t>。</w:t>
      </w:r>
      <w:bookmarkEnd w:id="715"/>
    </w:p>
    <w:p w14:paraId="0E242800">
      <w:pPr>
        <w:pStyle w:val="4"/>
      </w:pPr>
      <w:bookmarkStart w:id="716" w:name="_Toc22301654"/>
      <w:r>
        <w:rPr>
          <w:b/>
        </w:rPr>
        <w:t>7.</w:t>
      </w:r>
      <w:r>
        <w:rPr>
          <w:rFonts w:hint="eastAsia"/>
          <w:b/>
        </w:rPr>
        <w:t>3</w:t>
      </w:r>
      <w:r>
        <w:rPr>
          <w:b/>
        </w:rPr>
        <w:t>.</w:t>
      </w:r>
      <w:r>
        <w:rPr>
          <w:rFonts w:hint="eastAsia"/>
          <w:b/>
        </w:rPr>
        <w:t xml:space="preserve">5  </w:t>
      </w:r>
      <w:r>
        <w:rPr>
          <w:rFonts w:hint="eastAsia"/>
        </w:rPr>
        <w:t>夏季施工时，高延性混凝土应随拌随用，压抹高延性混凝土时分层压抹的间隔时间不宜超过2小时</w:t>
      </w:r>
      <w:r>
        <w:t>。</w:t>
      </w:r>
      <w:bookmarkEnd w:id="716"/>
    </w:p>
    <w:p w14:paraId="1C1F4585">
      <w:pPr>
        <w:pStyle w:val="4"/>
      </w:pPr>
      <w:bookmarkStart w:id="717" w:name="_Toc22301655"/>
      <w:r>
        <w:rPr>
          <w:b/>
        </w:rPr>
        <w:t>7.</w:t>
      </w:r>
      <w:r>
        <w:rPr>
          <w:rFonts w:hint="eastAsia"/>
          <w:b/>
        </w:rPr>
        <w:t>3</w:t>
      </w:r>
      <w:r>
        <w:rPr>
          <w:b/>
        </w:rPr>
        <w:t>.</w:t>
      </w:r>
      <w:r>
        <w:rPr>
          <w:rFonts w:hint="eastAsia"/>
          <w:b/>
        </w:rPr>
        <w:t xml:space="preserve">6  </w:t>
      </w:r>
      <w:r>
        <w:rPr>
          <w:rFonts w:hint="eastAsia"/>
        </w:rPr>
        <w:t>夏季气温高于30 ℃时，外墙高延性混凝土面层施工时应采取遮阳措施，并应加强养护</w:t>
      </w:r>
      <w:r>
        <w:t>。</w:t>
      </w:r>
      <w:bookmarkEnd w:id="717"/>
    </w:p>
    <w:p w14:paraId="06A32786">
      <w:pPr>
        <w:spacing w:after="156"/>
        <w:ind w:firstLine="560"/>
        <w:rPr>
          <w:rFonts w:eastAsia="宋体" w:cs="Times New Roman"/>
          <w:sz w:val="28"/>
          <w:szCs w:val="28"/>
        </w:rPr>
      </w:pPr>
      <w:r>
        <w:rPr>
          <w:rFonts w:eastAsia="宋体" w:cs="Times New Roman"/>
          <w:sz w:val="28"/>
          <w:szCs w:val="28"/>
        </w:rPr>
        <w:br w:type="page"/>
      </w:r>
    </w:p>
    <w:p w14:paraId="666118ED">
      <w:pPr>
        <w:pStyle w:val="2"/>
        <w:spacing w:after="312"/>
        <w:rPr>
          <w:snapToGrid w:val="0"/>
        </w:rPr>
      </w:pPr>
      <w:bookmarkStart w:id="718" w:name="_Toc1177"/>
      <w:bookmarkStart w:id="719" w:name="_Toc6641"/>
      <w:bookmarkStart w:id="720" w:name="_Toc207111727"/>
      <w:bookmarkStart w:id="721" w:name="_Toc13128"/>
      <w:r>
        <w:rPr>
          <w:rFonts w:hint="eastAsia"/>
          <w:snapToGrid w:val="0"/>
        </w:rPr>
        <w:t xml:space="preserve">8  </w:t>
      </w:r>
      <w:bookmarkEnd w:id="693"/>
      <w:r>
        <w:rPr>
          <w:rFonts w:hint="eastAsia"/>
          <w:snapToGrid w:val="0"/>
        </w:rPr>
        <w:t>质量验收</w:t>
      </w:r>
      <w:bookmarkEnd w:id="694"/>
      <w:bookmarkEnd w:id="695"/>
      <w:bookmarkEnd w:id="696"/>
      <w:bookmarkEnd w:id="697"/>
      <w:bookmarkEnd w:id="718"/>
      <w:bookmarkEnd w:id="719"/>
      <w:bookmarkEnd w:id="720"/>
      <w:bookmarkEnd w:id="721"/>
    </w:p>
    <w:p w14:paraId="26E8574B">
      <w:pPr>
        <w:pStyle w:val="3"/>
      </w:pPr>
      <w:bookmarkStart w:id="722" w:name="_Toc79615816"/>
      <w:bookmarkStart w:id="723" w:name="_Toc1570"/>
      <w:bookmarkStart w:id="724" w:name="_Toc25268"/>
      <w:bookmarkStart w:id="725" w:name="_Toc3339"/>
      <w:bookmarkStart w:id="726" w:name="_Toc28386"/>
      <w:bookmarkStart w:id="727" w:name="_Toc6755"/>
      <w:bookmarkStart w:id="728" w:name="_Toc207111728"/>
      <w:bookmarkStart w:id="729" w:name="_Toc12665"/>
      <w:bookmarkStart w:id="730" w:name="_Toc15674"/>
      <w:r>
        <w:t xml:space="preserve">8.1  </w:t>
      </w:r>
      <w:r>
        <w:rPr>
          <w:bCs/>
        </w:rPr>
        <w:t>一般规定</w:t>
      </w:r>
      <w:bookmarkEnd w:id="722"/>
      <w:bookmarkEnd w:id="723"/>
      <w:bookmarkEnd w:id="724"/>
      <w:bookmarkEnd w:id="725"/>
      <w:bookmarkEnd w:id="726"/>
      <w:bookmarkEnd w:id="727"/>
      <w:bookmarkEnd w:id="728"/>
      <w:bookmarkEnd w:id="729"/>
      <w:bookmarkEnd w:id="730"/>
    </w:p>
    <w:p w14:paraId="3A69B190">
      <w:pPr>
        <w:pStyle w:val="4"/>
      </w:pPr>
      <w:r>
        <w:rPr>
          <w:rFonts w:hint="eastAsia"/>
          <w:b/>
        </w:rPr>
        <w:t>8.1.1</w:t>
      </w:r>
      <w:r>
        <w:rPr>
          <w:b/>
        </w:rPr>
        <w:t xml:space="preserve"> </w:t>
      </w:r>
      <w:r>
        <w:rPr>
          <w:rFonts w:hint="eastAsia"/>
          <w:b/>
        </w:rPr>
        <w:t xml:space="preserve"> </w:t>
      </w:r>
      <w:r>
        <w:rPr>
          <w:rFonts w:hint="eastAsia"/>
        </w:rPr>
        <w:t>既有建筑高延性混凝土加固工程的子分部工程和分项工程应按表8.1.</w:t>
      </w:r>
      <w:r>
        <w:t>1</w:t>
      </w:r>
      <w:r>
        <w:rPr>
          <w:rFonts w:hint="eastAsia"/>
        </w:rPr>
        <w:t>的规定进行划分。子分部工程的施工质量应按本规程第8.4节的规定进行竣工验收，并</w:t>
      </w:r>
      <w:r>
        <w:t>应符合现行国家标准《建筑结构加固工程施工质量验收规范》GB 50550的有关规定</w:t>
      </w:r>
      <w:r>
        <w:rPr>
          <w:rFonts w:hint="eastAsia"/>
        </w:rPr>
        <w:t>；分项工程中原构件修整、界面处理、钢筋加工与焊接、钢筋安装与锚固及养护工程按现行国家标准《建筑结构加固工程施工质量验收规范》GB 50550的有关规定进行质量验收；高延性混凝土施工工程按本规程有关规定进行质量验收。</w:t>
      </w:r>
    </w:p>
    <w:p w14:paraId="03CDA893">
      <w:pPr>
        <w:pStyle w:val="56"/>
      </w:pPr>
      <w:bookmarkStart w:id="731" w:name="_Hlk198997278"/>
      <w:r>
        <w:t>表</w:t>
      </w:r>
      <w:r>
        <w:rPr>
          <w:rFonts w:hint="eastAsia"/>
        </w:rPr>
        <w:t>8.1.</w:t>
      </w:r>
      <w:r>
        <w:t>1  建筑结构</w:t>
      </w:r>
      <w:r>
        <w:rPr>
          <w:rFonts w:hint="eastAsia"/>
        </w:rPr>
        <w:t>高延性混凝土</w:t>
      </w:r>
      <w:r>
        <w:t>加固子分部工程、分项工程划分</w:t>
      </w:r>
    </w:p>
    <w:tbl>
      <w:tblPr>
        <w:tblStyle w:val="47"/>
        <w:tblW w:w="7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04"/>
        <w:gridCol w:w="2041"/>
        <w:gridCol w:w="4644"/>
      </w:tblGrid>
      <w:tr w14:paraId="3626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304" w:type="dxa"/>
            <w:vAlign w:val="center"/>
          </w:tcPr>
          <w:p w14:paraId="03C8B8EB">
            <w:pPr>
              <w:pStyle w:val="55"/>
              <w:spacing w:before="31" w:after="31"/>
            </w:pPr>
            <w:r>
              <w:t>分部工程</w:t>
            </w:r>
          </w:p>
        </w:tc>
        <w:tc>
          <w:tcPr>
            <w:tcW w:w="2041" w:type="dxa"/>
            <w:vAlign w:val="center"/>
          </w:tcPr>
          <w:p w14:paraId="466AB49C">
            <w:pPr>
              <w:pStyle w:val="55"/>
              <w:spacing w:before="31" w:after="31"/>
            </w:pPr>
            <w:r>
              <w:t>子分部工程</w:t>
            </w:r>
          </w:p>
        </w:tc>
        <w:tc>
          <w:tcPr>
            <w:tcW w:w="4644" w:type="dxa"/>
            <w:vAlign w:val="center"/>
          </w:tcPr>
          <w:p w14:paraId="069FA914">
            <w:pPr>
              <w:pStyle w:val="55"/>
              <w:spacing w:before="31" w:after="31"/>
            </w:pPr>
            <w:r>
              <w:t>分项工程</w:t>
            </w:r>
          </w:p>
        </w:tc>
      </w:tr>
      <w:tr w14:paraId="15892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04" w:type="dxa"/>
            <w:vMerge w:val="restart"/>
            <w:vAlign w:val="center"/>
          </w:tcPr>
          <w:p w14:paraId="70B40B4F">
            <w:pPr>
              <w:pStyle w:val="55"/>
              <w:spacing w:before="31" w:after="31"/>
            </w:pPr>
            <w:r>
              <w:t>建筑结构</w:t>
            </w:r>
          </w:p>
          <w:p w14:paraId="4622D8C0">
            <w:pPr>
              <w:pStyle w:val="55"/>
              <w:spacing w:before="31" w:after="31"/>
            </w:pPr>
            <w:r>
              <w:t>高延性混凝土</w:t>
            </w:r>
          </w:p>
          <w:p w14:paraId="41E20BC0">
            <w:pPr>
              <w:pStyle w:val="55"/>
              <w:spacing w:before="31" w:after="31"/>
            </w:pPr>
            <w:r>
              <w:t>加固工程</w:t>
            </w:r>
          </w:p>
        </w:tc>
        <w:tc>
          <w:tcPr>
            <w:tcW w:w="2041" w:type="dxa"/>
            <w:vAlign w:val="center"/>
          </w:tcPr>
          <w:p w14:paraId="17E9A1F7">
            <w:pPr>
              <w:pStyle w:val="55"/>
              <w:spacing w:before="31" w:after="31"/>
            </w:pPr>
            <w:r>
              <w:t>高延性混凝土加固</w:t>
            </w:r>
          </w:p>
          <w:p w14:paraId="78F732B4">
            <w:pPr>
              <w:pStyle w:val="55"/>
              <w:spacing w:before="31" w:after="31"/>
            </w:pPr>
            <w:r>
              <w:t>混凝土结构构件工程</w:t>
            </w:r>
          </w:p>
        </w:tc>
        <w:tc>
          <w:tcPr>
            <w:tcW w:w="4644" w:type="dxa"/>
            <w:vAlign w:val="center"/>
          </w:tcPr>
          <w:p w14:paraId="3E612983">
            <w:pPr>
              <w:pStyle w:val="55"/>
              <w:spacing w:before="31" w:after="31"/>
            </w:pPr>
            <w:r>
              <w:t>原构件修整、界面处理、钢筋加工与焊接、</w:t>
            </w:r>
          </w:p>
          <w:p w14:paraId="308265D3">
            <w:pPr>
              <w:pStyle w:val="55"/>
              <w:spacing w:before="31" w:after="31"/>
            </w:pPr>
            <w:r>
              <w:t>钢筋安装与锚固、高延性混凝土施工、养护</w:t>
            </w:r>
          </w:p>
        </w:tc>
      </w:tr>
      <w:tr w14:paraId="01CCA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04" w:type="dxa"/>
            <w:vMerge w:val="continue"/>
            <w:vAlign w:val="center"/>
          </w:tcPr>
          <w:p w14:paraId="4943415E">
            <w:pPr>
              <w:pStyle w:val="55"/>
              <w:spacing w:before="31" w:after="31"/>
              <w:rPr>
                <w:rFonts w:eastAsia="宋体"/>
              </w:rPr>
            </w:pPr>
          </w:p>
        </w:tc>
        <w:tc>
          <w:tcPr>
            <w:tcW w:w="2041" w:type="dxa"/>
            <w:vAlign w:val="center"/>
          </w:tcPr>
          <w:p w14:paraId="342F9C59">
            <w:pPr>
              <w:pStyle w:val="55"/>
              <w:spacing w:before="31" w:after="31"/>
              <w:rPr>
                <w:rFonts w:eastAsia="宋体"/>
              </w:rPr>
            </w:pPr>
            <w:r>
              <w:rPr>
                <w:rFonts w:eastAsia="宋体"/>
              </w:rPr>
              <w:t>高延性混凝土加固</w:t>
            </w:r>
          </w:p>
          <w:p w14:paraId="218DDD13">
            <w:pPr>
              <w:pStyle w:val="55"/>
              <w:spacing w:before="31" w:after="31"/>
            </w:pPr>
            <w:r>
              <w:rPr>
                <w:rFonts w:eastAsia="宋体"/>
              </w:rPr>
              <w:t>砌体构件工程</w:t>
            </w:r>
          </w:p>
        </w:tc>
        <w:tc>
          <w:tcPr>
            <w:tcW w:w="4644" w:type="dxa"/>
            <w:vAlign w:val="center"/>
          </w:tcPr>
          <w:p w14:paraId="5A66D41A">
            <w:pPr>
              <w:pStyle w:val="55"/>
              <w:spacing w:before="31" w:after="31"/>
              <w:rPr>
                <w:rFonts w:eastAsia="宋体"/>
              </w:rPr>
            </w:pPr>
            <w:r>
              <w:rPr>
                <w:rFonts w:eastAsia="宋体"/>
              </w:rPr>
              <w:t>原构件修整、界面处理、钢筋加工与焊接、</w:t>
            </w:r>
          </w:p>
          <w:p w14:paraId="35E3DE1C">
            <w:pPr>
              <w:pStyle w:val="55"/>
              <w:spacing w:before="31" w:after="31"/>
              <w:rPr>
                <w:rFonts w:eastAsia="宋体"/>
              </w:rPr>
            </w:pPr>
            <w:r>
              <w:rPr>
                <w:rFonts w:eastAsia="宋体"/>
              </w:rPr>
              <w:t>钢筋安装与锚固、高延性混凝土施工、养护</w:t>
            </w:r>
          </w:p>
        </w:tc>
      </w:tr>
    </w:tbl>
    <w:p w14:paraId="23C4DB0D">
      <w:pPr>
        <w:pStyle w:val="57"/>
      </w:pPr>
      <w:r>
        <w:rPr>
          <w:rFonts w:hint="eastAsia"/>
        </w:rPr>
        <w:t>注：建筑结构高延性混凝土加固工程指上部结构加固工程。</w:t>
      </w:r>
    </w:p>
    <w:bookmarkEnd w:id="731"/>
    <w:p w14:paraId="52143C9E">
      <w:pPr>
        <w:pStyle w:val="4"/>
      </w:pPr>
      <w:r>
        <w:rPr>
          <w:rFonts w:hint="eastAsia"/>
          <w:b/>
        </w:rPr>
        <w:t>8.1.</w:t>
      </w:r>
      <w:r>
        <w:rPr>
          <w:b/>
        </w:rPr>
        <w:t>2</w:t>
      </w:r>
      <w:r>
        <w:rPr>
          <w:rFonts w:hint="eastAsia"/>
        </w:rPr>
        <w:t xml:space="preserve">  既有建筑高延性混凝土加固工程的施工质量控制应符合下列规定：</w:t>
      </w:r>
    </w:p>
    <w:p w14:paraId="6D666165">
      <w:pPr>
        <w:ind w:firstLine="422"/>
      </w:pPr>
      <w:r>
        <w:rPr>
          <w:rFonts w:hint="eastAsia"/>
          <w:b/>
          <w:bCs/>
        </w:rPr>
        <w:t>1</w:t>
      </w:r>
      <w:r>
        <w:rPr>
          <w:rFonts w:hint="eastAsia"/>
        </w:rPr>
        <w:t xml:space="preserve">  结构加固设计单位应按审查批准的施工图，向施工单位进行技术交底；施工单位应据以编制施工组织设计和施工技术方案，经审查批准后组织实施。</w:t>
      </w:r>
    </w:p>
    <w:p w14:paraId="0BB36465">
      <w:pPr>
        <w:ind w:firstLine="422"/>
      </w:pPr>
      <w:r>
        <w:rPr>
          <w:rFonts w:hint="eastAsia"/>
          <w:b/>
          <w:bCs/>
        </w:rPr>
        <w:t>2</w:t>
      </w:r>
      <w:r>
        <w:rPr>
          <w:rFonts w:hint="eastAsia"/>
        </w:rPr>
        <w:t xml:space="preserve">  加固材料、产品应进行进场验收。凡涉及安全、卫生、环境保护的材料和产品应按本规范规定的抽样数量进行见证抽样复验；其送样应经监理工程师签封；复验不合格的材料和产品不得使用；施工单位或生产厂家不应自行抽样、送检的委托检验报告。</w:t>
      </w:r>
    </w:p>
    <w:p w14:paraId="7C1F1E2D">
      <w:pPr>
        <w:ind w:firstLine="422"/>
      </w:pPr>
      <w:r>
        <w:rPr>
          <w:rFonts w:hint="eastAsia"/>
          <w:b/>
          <w:bCs/>
        </w:rPr>
        <w:t>3</w:t>
      </w:r>
      <w:r>
        <w:rPr>
          <w:rFonts w:hint="eastAsia"/>
        </w:rPr>
        <w:t xml:space="preserve">  结构加固工程施工前，应对原结构、构件进行清理、修整和支护。</w:t>
      </w:r>
    </w:p>
    <w:p w14:paraId="50D599FC">
      <w:pPr>
        <w:ind w:firstLine="422"/>
      </w:pPr>
      <w:r>
        <w:rPr>
          <w:rFonts w:hint="eastAsia"/>
          <w:b/>
          <w:bCs/>
        </w:rPr>
        <w:t>4</w:t>
      </w:r>
      <w:r>
        <w:rPr>
          <w:rFonts w:hint="eastAsia"/>
        </w:rPr>
        <w:t xml:space="preserve">  结构加固工程的每道工序均应按本规范及企业的施工技术标准进行质量控制；每道工序完成后应进行检查验收；必要时尚应按隐蔽工程的要求进行检查验收；合格后方允许进行下一道工序的施工。</w:t>
      </w:r>
    </w:p>
    <w:p w14:paraId="2D813948">
      <w:pPr>
        <w:ind w:firstLine="422"/>
      </w:pPr>
      <w:r>
        <w:rPr>
          <w:rFonts w:hint="eastAsia"/>
          <w:b/>
          <w:bCs/>
        </w:rPr>
        <w:t>5</w:t>
      </w:r>
      <w:r>
        <w:rPr>
          <w:rFonts w:hint="eastAsia"/>
        </w:rPr>
        <w:t xml:space="preserve">  相关各专业工种交接时，应进行交接检验，并应经监理工程师检查认可。</w:t>
      </w:r>
    </w:p>
    <w:p w14:paraId="517F45BD">
      <w:pPr>
        <w:pStyle w:val="4"/>
      </w:pPr>
      <w:r>
        <w:rPr>
          <w:b/>
        </w:rPr>
        <w:t>8.1.3</w:t>
      </w:r>
      <w:r>
        <w:t xml:space="preserve">  高延性混凝土检验应按检验批进行，检验批的划分应符合下列规定：</w:t>
      </w:r>
    </w:p>
    <w:p w14:paraId="1AA3418C">
      <w:pPr>
        <w:ind w:firstLine="422"/>
      </w:pPr>
      <w:r>
        <w:rPr>
          <w:b/>
        </w:rPr>
        <w:t>1</w:t>
      </w:r>
      <w:r>
        <w:t xml:space="preserve">  高延性混凝土进场复验时，按同一厂家、同一生产批次、同一进场时间每100t为一个检验批，不足100t也按一个检验批计。</w:t>
      </w:r>
    </w:p>
    <w:p w14:paraId="04166231">
      <w:pPr>
        <w:ind w:firstLine="422"/>
      </w:pPr>
      <w:r>
        <w:rPr>
          <w:b/>
        </w:rPr>
        <w:t xml:space="preserve">2 </w:t>
      </w:r>
      <w:r>
        <w:t xml:space="preserve"> 加固砌体结构施工时，高延性混凝土力学性能检验和施工质量检验，以加固的50个自然间为一个检验批，不足50间的也划分为一个检验批；</w:t>
      </w:r>
    </w:p>
    <w:p w14:paraId="69C1AC78">
      <w:pPr>
        <w:ind w:firstLine="422"/>
      </w:pPr>
      <w:r>
        <w:rPr>
          <w:b/>
        </w:rPr>
        <w:t>3</w:t>
      </w:r>
      <w:r>
        <w:t xml:space="preserve">  加固混凝土构件施工时，高延性混凝土力学性能检验和施工质量检验，以同一个单体工程的每100个同类构件为一个检验批，不足100个构件时也划分为一个检验批。</w:t>
      </w:r>
    </w:p>
    <w:p w14:paraId="46025A0D">
      <w:pPr>
        <w:pStyle w:val="4"/>
      </w:pPr>
      <w:r>
        <w:rPr>
          <w:b/>
        </w:rPr>
        <w:t xml:space="preserve">8.1.4 </w:t>
      </w:r>
      <w:r>
        <w:t xml:space="preserve"> 检验批合格质量标准应符合下列规定：</w:t>
      </w:r>
    </w:p>
    <w:p w14:paraId="6345721F">
      <w:pPr>
        <w:ind w:firstLine="422"/>
      </w:pPr>
      <w:r>
        <w:rPr>
          <w:b/>
        </w:rPr>
        <w:t>1</w:t>
      </w:r>
      <w:r>
        <w:t xml:space="preserve">  主控项目的质量经抽样检验</w:t>
      </w:r>
      <w:r>
        <w:rPr>
          <w:rFonts w:hint="eastAsia"/>
        </w:rPr>
        <w:t>应</w:t>
      </w:r>
      <w:r>
        <w:t>合格；</w:t>
      </w:r>
    </w:p>
    <w:p w14:paraId="7A380173">
      <w:pPr>
        <w:ind w:firstLine="422"/>
      </w:pPr>
      <w:r>
        <w:rPr>
          <w:b/>
        </w:rPr>
        <w:t>2</w:t>
      </w:r>
      <w:r>
        <w:t xml:space="preserve">  一般项目的质量经抽样检验</w:t>
      </w:r>
      <w:r>
        <w:rPr>
          <w:rFonts w:hint="eastAsia"/>
        </w:rPr>
        <w:t>应</w:t>
      </w:r>
      <w:r>
        <w:t>合格；当采用技术检验时，除本规程另有规定外，其抽检的合格点率应不低于85%，且不得有严重缺陷；</w:t>
      </w:r>
    </w:p>
    <w:p w14:paraId="519C9216">
      <w:pPr>
        <w:ind w:firstLine="422"/>
      </w:pPr>
      <w:r>
        <w:rPr>
          <w:b/>
        </w:rPr>
        <w:t>3</w:t>
      </w:r>
      <w:r>
        <w:t xml:space="preserve">  </w:t>
      </w:r>
      <w:r>
        <w:rPr>
          <w:rFonts w:hint="eastAsia"/>
        </w:rPr>
        <w:t>应</w:t>
      </w:r>
      <w:r>
        <w:t>具有完整的施工操作依据、质量检查记录及质量证明文件。</w:t>
      </w:r>
    </w:p>
    <w:p w14:paraId="7E9D32D3">
      <w:pPr>
        <w:pStyle w:val="4"/>
      </w:pPr>
      <w:r>
        <w:rPr>
          <w:b/>
        </w:rPr>
        <w:t>8.1.5</w:t>
      </w:r>
      <w:r>
        <w:t xml:space="preserve">  分项工程的质量验收，应在其所含检验批均验收合格的基础上，按本规程规定的检验项目，对各检验批中每项质量验收记录及其合格证明文件进行检查。</w:t>
      </w:r>
    </w:p>
    <w:p w14:paraId="6FB3CAE0">
      <w:pPr>
        <w:pStyle w:val="4"/>
      </w:pPr>
      <w:r>
        <w:rPr>
          <w:b/>
        </w:rPr>
        <w:t>8.1.6</w:t>
      </w:r>
      <w:r>
        <w:t xml:space="preserve">  分项工程合格质量标准应符合下列规定：</w:t>
      </w:r>
    </w:p>
    <w:p w14:paraId="5F7AE7E3">
      <w:pPr>
        <w:ind w:firstLine="422"/>
      </w:pPr>
      <w:r>
        <w:rPr>
          <w:b/>
        </w:rPr>
        <w:t>1</w:t>
      </w:r>
      <w:r>
        <w:t xml:space="preserve">  分项工程所含的各检验批，其质量均</w:t>
      </w:r>
      <w:r>
        <w:rPr>
          <w:rFonts w:hint="eastAsia"/>
        </w:rPr>
        <w:t>应</w:t>
      </w:r>
      <w:r>
        <w:t>符合本规程的合格质量规定；</w:t>
      </w:r>
    </w:p>
    <w:p w14:paraId="091EDAB1">
      <w:pPr>
        <w:ind w:firstLine="422"/>
      </w:pPr>
      <w:r>
        <w:rPr>
          <w:b/>
        </w:rPr>
        <w:t>2</w:t>
      </w:r>
      <w:r>
        <w:t xml:space="preserve">  分项工程所含的各检验批，其质量验收记录和有关证明文件</w:t>
      </w:r>
      <w:r>
        <w:rPr>
          <w:rFonts w:hint="eastAsia"/>
        </w:rPr>
        <w:t>应</w:t>
      </w:r>
      <w:r>
        <w:t>完整。</w:t>
      </w:r>
    </w:p>
    <w:p w14:paraId="7FB86900">
      <w:pPr>
        <w:pStyle w:val="4"/>
      </w:pPr>
      <w:r>
        <w:rPr>
          <w:b/>
        </w:rPr>
        <w:t>8.1.7</w:t>
      </w:r>
      <w:r>
        <w:t xml:space="preserve">  </w:t>
      </w:r>
      <w:r>
        <w:rPr>
          <w:rFonts w:hint="eastAsia"/>
        </w:rPr>
        <w:t>高延性混凝土施工工程</w:t>
      </w:r>
      <w:r>
        <w:t>的质量检验，</w:t>
      </w:r>
      <w:r>
        <w:rPr>
          <w:rFonts w:hint="eastAsia"/>
        </w:rPr>
        <w:t>可</w:t>
      </w:r>
      <w:r>
        <w:t>按本规程附录C的格式填写质量验收记录。</w:t>
      </w:r>
    </w:p>
    <w:p w14:paraId="60A127C0">
      <w:pPr>
        <w:pStyle w:val="3"/>
      </w:pPr>
      <w:bookmarkStart w:id="732" w:name="_Toc207111729"/>
      <w:bookmarkStart w:id="733" w:name="_Toc17380"/>
      <w:bookmarkStart w:id="734" w:name="_Toc26904"/>
      <w:bookmarkStart w:id="735" w:name="_Toc79615817"/>
      <w:bookmarkStart w:id="736" w:name="_Toc20642"/>
      <w:bookmarkStart w:id="737" w:name="_Toc11591"/>
      <w:bookmarkStart w:id="738" w:name="_Toc23603"/>
      <w:bookmarkStart w:id="739" w:name="_Toc29776"/>
      <w:r>
        <w:t>8.</w:t>
      </w:r>
      <w:r>
        <w:rPr>
          <w:rFonts w:hint="eastAsia"/>
        </w:rPr>
        <w:t>2</w:t>
      </w:r>
      <w:r>
        <w:t xml:space="preserve">  </w:t>
      </w:r>
      <w:r>
        <w:rPr>
          <w:rFonts w:hint="eastAsia"/>
          <w:bCs/>
        </w:rPr>
        <w:t>材  料</w:t>
      </w:r>
      <w:bookmarkEnd w:id="732"/>
      <w:bookmarkEnd w:id="733"/>
      <w:bookmarkEnd w:id="734"/>
    </w:p>
    <w:p w14:paraId="217EC93E">
      <w:pPr>
        <w:pStyle w:val="3"/>
      </w:pPr>
      <w:bookmarkStart w:id="740" w:name="_Toc207111730"/>
      <w:r>
        <w:t>I</w:t>
      </w:r>
      <w:r>
        <w:rPr>
          <w:rFonts w:hint="eastAsia"/>
        </w:rPr>
        <w:t xml:space="preserve">  </w:t>
      </w:r>
      <w:r>
        <w:t>主控项目</w:t>
      </w:r>
      <w:bookmarkEnd w:id="740"/>
    </w:p>
    <w:p w14:paraId="17FB16DC">
      <w:pPr>
        <w:pStyle w:val="4"/>
      </w:pPr>
      <w:r>
        <w:rPr>
          <w:b/>
        </w:rPr>
        <w:t>8.2.1</w:t>
      </w:r>
      <w:r>
        <w:t xml:space="preserve">  高延性混凝土</w:t>
      </w:r>
      <w:r>
        <w:rPr>
          <w:rFonts w:hint="eastAsia"/>
        </w:rPr>
        <w:t>进场时，应按下列规定进行检查和复验：</w:t>
      </w:r>
    </w:p>
    <w:p w14:paraId="16A8A667">
      <w:pPr>
        <w:ind w:firstLine="422"/>
      </w:pPr>
      <w:r>
        <w:rPr>
          <w:b/>
          <w:bCs/>
        </w:rPr>
        <w:t xml:space="preserve">1 </w:t>
      </w:r>
      <w:r>
        <w:rPr>
          <w:rFonts w:hint="eastAsia"/>
          <w:b/>
          <w:bCs/>
        </w:rPr>
        <w:t xml:space="preserve"> </w:t>
      </w:r>
      <w:r>
        <w:t>进场的高延性混凝土干混料应外观均匀，无结块、受潮现象</w:t>
      </w:r>
      <w:r>
        <w:rPr>
          <w:rFonts w:hint="eastAsia"/>
        </w:rPr>
        <w:t>；</w:t>
      </w:r>
    </w:p>
    <w:p w14:paraId="5F0484E6">
      <w:pPr>
        <w:ind w:firstLine="422"/>
      </w:pPr>
      <w:r>
        <w:rPr>
          <w:b/>
          <w:bCs/>
        </w:rPr>
        <w:t xml:space="preserve">2 </w:t>
      </w:r>
      <w:r>
        <w:rPr>
          <w:rFonts w:hint="eastAsia"/>
          <w:b/>
          <w:bCs/>
        </w:rPr>
        <w:t xml:space="preserve"> </w:t>
      </w:r>
      <w:r>
        <w:t>进场时应</w:t>
      </w:r>
      <w:r>
        <w:rPr>
          <w:rFonts w:hint="eastAsia"/>
        </w:rPr>
        <w:t>核</w:t>
      </w:r>
      <w:r>
        <w:t>验型式检验报告</w:t>
      </w:r>
      <w:r>
        <w:rPr>
          <w:rFonts w:hint="eastAsia"/>
        </w:rPr>
        <w:t>、</w:t>
      </w:r>
      <w:r>
        <w:t>出厂检验报告</w:t>
      </w:r>
      <w:r>
        <w:rPr>
          <w:rFonts w:hint="eastAsia"/>
        </w:rPr>
        <w:t>、</w:t>
      </w:r>
      <w:r>
        <w:t>产品合格证</w:t>
      </w:r>
      <w:r>
        <w:rPr>
          <w:rFonts w:hint="eastAsia"/>
        </w:rPr>
        <w:t>和</w:t>
      </w:r>
      <w:r>
        <w:t>产品使用说明书等质量证明文件。型式检验报告应包含本规程第4.3.1、4.3.2和4.4.1条规定的所有检验项目，且检验结果应满足本规程的相关规定；</w:t>
      </w:r>
    </w:p>
    <w:p w14:paraId="4B6B5055">
      <w:pPr>
        <w:ind w:firstLine="422"/>
      </w:pPr>
      <w:r>
        <w:rPr>
          <w:b/>
          <w:bCs/>
        </w:rPr>
        <w:t xml:space="preserve">3 </w:t>
      </w:r>
      <w:r>
        <w:rPr>
          <w:rFonts w:hint="eastAsia"/>
          <w:b/>
          <w:bCs/>
        </w:rPr>
        <w:t xml:space="preserve"> </w:t>
      </w:r>
      <w:r>
        <w:t>应</w:t>
      </w:r>
      <w:r>
        <w:rPr>
          <w:rFonts w:hint="eastAsia"/>
        </w:rPr>
        <w:t>按表4.3.1规定的检验项目与性能合格指标，见证取样复验</w:t>
      </w:r>
      <w:r>
        <w:t>高延性混凝土</w:t>
      </w:r>
      <w:r>
        <w:rPr>
          <w:rFonts w:hint="eastAsia"/>
        </w:rPr>
        <w:t>3d龄期的</w:t>
      </w:r>
      <w:r>
        <w:t>等效弯曲韧性、等效弯曲强度、抗折强度和立方体抗压强度</w:t>
      </w:r>
      <w:r>
        <w:rPr>
          <w:rFonts w:hint="eastAsia"/>
        </w:rPr>
        <w:t>4个项目；见证取样应</w:t>
      </w:r>
      <w:r>
        <w:t>以每一检验批为一个取样单位，</w:t>
      </w:r>
      <w:r>
        <w:rPr>
          <w:rFonts w:hint="eastAsia"/>
        </w:rPr>
        <w:t>按</w:t>
      </w:r>
      <w:r>
        <w:t>下列规定取样：</w:t>
      </w:r>
    </w:p>
    <w:p w14:paraId="6EF5B27B">
      <w:pPr>
        <w:ind w:firstLine="420"/>
      </w:pPr>
      <w:r>
        <w:rPr>
          <w:rFonts w:hint="eastAsia"/>
        </w:rPr>
        <w:t>（1）</w:t>
      </w:r>
      <w:r>
        <w:t>取样方法应</w:t>
      </w:r>
      <w:r>
        <w:rPr>
          <w:rFonts w:hint="eastAsia"/>
        </w:rPr>
        <w:t>符合</w:t>
      </w:r>
      <w:r>
        <w:t>现行国家标准《水泥取样方法》GB/T 12573</w:t>
      </w:r>
      <w:r>
        <w:rPr>
          <w:rFonts w:hint="eastAsia"/>
        </w:rPr>
        <w:t>的相关规定</w:t>
      </w:r>
      <w:r>
        <w:t>，取样应有代表性。</w:t>
      </w:r>
    </w:p>
    <w:p w14:paraId="62CCFE36">
      <w:pPr>
        <w:ind w:firstLine="420"/>
      </w:pPr>
      <w:r>
        <w:rPr>
          <w:rFonts w:hint="eastAsia"/>
        </w:rPr>
        <w:t>（2）</w:t>
      </w:r>
      <w:r>
        <w:t>每一检验批取得的试样应充分混合均匀后分为两等份，其中一份进行进场复检，另一份应密封保存至有效期。</w:t>
      </w:r>
    </w:p>
    <w:p w14:paraId="6D413C40">
      <w:pPr>
        <w:ind w:firstLine="420"/>
      </w:pPr>
      <w:r>
        <w:rPr>
          <w:rFonts w:hint="eastAsia"/>
        </w:rPr>
        <w:t>检查数量：</w:t>
      </w:r>
      <w:r>
        <w:t>按本规程8.1.3条的规定</w:t>
      </w:r>
      <w:r>
        <w:rPr>
          <w:rFonts w:hint="eastAsia"/>
        </w:rPr>
        <w:t>的进场复验</w:t>
      </w:r>
      <w:r>
        <w:t>检验批次</w:t>
      </w:r>
      <w:r>
        <w:rPr>
          <w:rFonts w:hint="eastAsia"/>
        </w:rPr>
        <w:t>，每批见证取样不应少于一次；每批留置不少于</w:t>
      </w:r>
      <w:r>
        <w:t>3</w:t>
      </w:r>
      <w:r>
        <w:rPr>
          <w:rFonts w:hint="eastAsia"/>
        </w:rPr>
        <w:t>组，每组3个试件。</w:t>
      </w:r>
    </w:p>
    <w:p w14:paraId="7AB14CE5">
      <w:pPr>
        <w:ind w:firstLine="420"/>
      </w:pPr>
      <w:r>
        <w:rPr>
          <w:rFonts w:hint="eastAsia"/>
        </w:rPr>
        <w:t>检验方法：检查产品合格证、出厂检验报告和进场复验报告。</w:t>
      </w:r>
    </w:p>
    <w:bookmarkEnd w:id="735"/>
    <w:bookmarkEnd w:id="736"/>
    <w:bookmarkEnd w:id="737"/>
    <w:bookmarkEnd w:id="738"/>
    <w:bookmarkEnd w:id="739"/>
    <w:p w14:paraId="7EDFF1E3">
      <w:pPr>
        <w:pStyle w:val="4"/>
      </w:pPr>
      <w:r>
        <w:rPr>
          <w:b/>
        </w:rPr>
        <w:t>8.2.</w:t>
      </w:r>
      <w:r>
        <w:rPr>
          <w:rFonts w:hint="eastAsia"/>
          <w:b/>
        </w:rPr>
        <w:t>2</w:t>
      </w:r>
      <w:r>
        <w:rPr>
          <w:b/>
        </w:rPr>
        <w:t xml:space="preserve"> </w:t>
      </w:r>
      <w:r>
        <w:t xml:space="preserve"> 施工过程中，应在搅拌机内随机抽取高延性混凝土拌合物并制作标准养护试块，</w:t>
      </w:r>
      <w:r>
        <w:rPr>
          <w:rFonts w:hint="eastAsia"/>
        </w:rPr>
        <w:t>并按</w:t>
      </w:r>
      <w:r>
        <w:t>本规程</w:t>
      </w:r>
      <w:r>
        <w:rPr>
          <w:rFonts w:hint="eastAsia"/>
        </w:rPr>
        <w:t>表4</w:t>
      </w:r>
      <w:r>
        <w:t>.3.1</w:t>
      </w:r>
      <w:r>
        <w:rPr>
          <w:rFonts w:hint="eastAsia"/>
        </w:rPr>
        <w:t>相关</w:t>
      </w:r>
      <w:r>
        <w:t>规定测试试件标准养护60d的等效弯曲韧性、等效弯曲强度、抗折强度和立方体抗压强度，</w:t>
      </w:r>
      <w:r>
        <w:rPr>
          <w:rFonts w:hint="eastAsia"/>
        </w:rPr>
        <w:t>测试</w:t>
      </w:r>
      <w:r>
        <w:t>结果应满足本规程第4.3.1条指标要求，同时应满足设计要求。</w:t>
      </w:r>
    </w:p>
    <w:p w14:paraId="704F85AD">
      <w:pPr>
        <w:ind w:firstLine="420"/>
      </w:pPr>
      <w:r>
        <w:t>检查数量：按本规程8.1.3条的规定</w:t>
      </w:r>
      <w:r>
        <w:rPr>
          <w:rFonts w:hint="eastAsia"/>
        </w:rPr>
        <w:t>的</w:t>
      </w:r>
      <w:r>
        <w:t>施工质量检验批次</w:t>
      </w:r>
      <w:r>
        <w:rPr>
          <w:rFonts w:hint="eastAsia"/>
        </w:rPr>
        <w:t>，</w:t>
      </w:r>
      <w:r>
        <w:t>每批留置不少于1组，每组3个试件；</w:t>
      </w:r>
    </w:p>
    <w:p w14:paraId="35C83390">
      <w:pPr>
        <w:ind w:firstLine="420"/>
      </w:pPr>
      <w:r>
        <w:t>检验方法：检查标准养护试件的检验报告。</w:t>
      </w:r>
    </w:p>
    <w:p w14:paraId="5C6EDC93">
      <w:pPr>
        <w:pStyle w:val="3"/>
      </w:pPr>
      <w:bookmarkStart w:id="741" w:name="_Toc207111731"/>
      <w:r>
        <w:t>II</w:t>
      </w:r>
      <w:r>
        <w:rPr>
          <w:rFonts w:hint="eastAsia"/>
        </w:rPr>
        <w:t xml:space="preserve">  </w:t>
      </w:r>
      <w:r>
        <w:t>一般项目</w:t>
      </w:r>
      <w:bookmarkEnd w:id="741"/>
    </w:p>
    <w:p w14:paraId="2410D543">
      <w:pPr>
        <w:pStyle w:val="4"/>
      </w:pPr>
      <w:r>
        <w:rPr>
          <w:rFonts w:hint="eastAsia"/>
          <w:b/>
        </w:rPr>
        <w:t>8.2.3</w:t>
      </w:r>
      <w:r>
        <w:rPr>
          <w:rFonts w:hint="eastAsia"/>
        </w:rPr>
        <w:t xml:space="preserve">  高延性混凝土拌制及养护用水应符合现行行业标准《混凝土用水标准》JGJ 63 的有关规定；采用饮用水作为高延性混凝土用水时，可不检验；采用其他水源时，应对其成份进行检验。</w:t>
      </w:r>
    </w:p>
    <w:p w14:paraId="34D2275C">
      <w:pPr>
        <w:ind w:firstLine="420"/>
      </w:pPr>
      <w:r>
        <w:rPr>
          <w:rFonts w:hint="eastAsia"/>
        </w:rPr>
        <w:t>检查数量：同一水源检查不应少于一次。</w:t>
      </w:r>
    </w:p>
    <w:p w14:paraId="7D3CBADA">
      <w:pPr>
        <w:ind w:firstLine="420"/>
      </w:pPr>
      <w:r>
        <w:rPr>
          <w:rFonts w:hint="eastAsia"/>
        </w:rPr>
        <w:t>检验方法：检查水质检验报告。</w:t>
      </w:r>
    </w:p>
    <w:p w14:paraId="1DD93382">
      <w:pPr>
        <w:pStyle w:val="4"/>
      </w:pPr>
      <w:bookmarkStart w:id="742" w:name="_Toc79615718"/>
      <w:r>
        <w:rPr>
          <w:b/>
        </w:rPr>
        <w:t>8.2.</w:t>
      </w:r>
      <w:r>
        <w:rPr>
          <w:rFonts w:hint="eastAsia"/>
          <w:b/>
        </w:rPr>
        <w:t>4</w:t>
      </w:r>
      <w:r>
        <w:t xml:space="preserve">  其他加固材料或产品应按现行国家标准《建筑结构加固工程施工质量验收规范》GB 50550的有关规定进行验收。</w:t>
      </w:r>
      <w:bookmarkEnd w:id="742"/>
    </w:p>
    <w:p w14:paraId="3099D4E0">
      <w:pPr>
        <w:pStyle w:val="3"/>
      </w:pPr>
      <w:bookmarkStart w:id="743" w:name="_Toc29438"/>
      <w:bookmarkStart w:id="744" w:name="_Toc23914"/>
      <w:bookmarkStart w:id="745" w:name="_Toc25309"/>
      <w:bookmarkStart w:id="746" w:name="_Toc4787"/>
      <w:bookmarkStart w:id="747" w:name="_Toc3080"/>
      <w:bookmarkStart w:id="748" w:name="_Toc207111732"/>
      <w:bookmarkStart w:id="749" w:name="_Toc18645"/>
      <w:bookmarkStart w:id="750" w:name="_Toc30992"/>
      <w:bookmarkStart w:id="751" w:name="_Toc79615818"/>
      <w:r>
        <w:t>8.3  施工</w:t>
      </w:r>
      <w:bookmarkEnd w:id="743"/>
      <w:r>
        <w:t>质量检验</w:t>
      </w:r>
      <w:bookmarkEnd w:id="744"/>
      <w:bookmarkEnd w:id="745"/>
      <w:bookmarkEnd w:id="746"/>
      <w:bookmarkEnd w:id="747"/>
      <w:bookmarkEnd w:id="748"/>
      <w:bookmarkEnd w:id="749"/>
      <w:bookmarkEnd w:id="750"/>
      <w:bookmarkEnd w:id="751"/>
    </w:p>
    <w:p w14:paraId="18885644">
      <w:pPr>
        <w:pStyle w:val="3"/>
      </w:pPr>
      <w:bookmarkStart w:id="752" w:name="_Toc207111733"/>
      <w:bookmarkStart w:id="753" w:name="_Toc27307542"/>
      <w:bookmarkStart w:id="754" w:name="_Toc25690653"/>
      <w:bookmarkStart w:id="755" w:name="_Toc25690924"/>
      <w:bookmarkStart w:id="756" w:name="_Toc27306537"/>
      <w:bookmarkStart w:id="757" w:name="_Toc27307682"/>
      <w:bookmarkStart w:id="758" w:name="_Toc27306676"/>
      <w:r>
        <w:t>I</w:t>
      </w:r>
      <w:r>
        <w:rPr>
          <w:rFonts w:hint="eastAsia"/>
        </w:rPr>
        <w:t xml:space="preserve">  </w:t>
      </w:r>
      <w:r>
        <w:t>主控项目</w:t>
      </w:r>
      <w:bookmarkEnd w:id="752"/>
      <w:bookmarkEnd w:id="753"/>
      <w:bookmarkEnd w:id="754"/>
      <w:bookmarkEnd w:id="755"/>
      <w:bookmarkEnd w:id="756"/>
      <w:bookmarkEnd w:id="757"/>
      <w:bookmarkEnd w:id="758"/>
    </w:p>
    <w:p w14:paraId="41622DB8">
      <w:pPr>
        <w:pStyle w:val="4"/>
      </w:pPr>
      <w:r>
        <w:rPr>
          <w:b/>
        </w:rPr>
        <w:t>8.3.1</w:t>
      </w:r>
      <w:r>
        <w:t xml:space="preserve">  高延性混凝土面层或配筋高延性混凝土面层，其外观质量不应有严重缺陷。硬化后高延性混凝土面层或配筋高延性混凝土面层的严重缺陷应按表8.3.1进行检查和评定。对已出现的问题应由施工单位提出处理方案，经业主</w:t>
      </w:r>
      <w:r>
        <w:rPr>
          <w:rFonts w:hint="eastAsia"/>
        </w:rPr>
        <w:t>、</w:t>
      </w:r>
      <w:r>
        <w:t>监理单位和设计单位共同认可后进行处理并应重新检查、验收。</w:t>
      </w:r>
    </w:p>
    <w:p w14:paraId="6E80BC77">
      <w:pPr>
        <w:ind w:firstLine="420"/>
      </w:pPr>
      <w:r>
        <w:t>检查数量：全数检查；</w:t>
      </w:r>
    </w:p>
    <w:p w14:paraId="5BCB0C27">
      <w:pPr>
        <w:ind w:firstLine="420"/>
      </w:pPr>
      <w:r>
        <w:t>检验方法：观察、检查技术处理方案及施工记录。</w:t>
      </w:r>
    </w:p>
    <w:p w14:paraId="26B726F3">
      <w:pPr>
        <w:pStyle w:val="56"/>
      </w:pPr>
      <w:r>
        <w:t>表</w:t>
      </w:r>
      <w:r>
        <w:rPr>
          <w:rFonts w:hint="eastAsia"/>
        </w:rPr>
        <w:t>8.3.1</w:t>
      </w:r>
      <w:r>
        <w:t xml:space="preserve"> 高延性混凝土面层</w:t>
      </w:r>
      <w:r>
        <w:rPr>
          <w:rFonts w:hint="eastAsia"/>
        </w:rPr>
        <w:t>或配筋</w:t>
      </w:r>
      <w:r>
        <w:t>高延性混凝土面层</w:t>
      </w:r>
      <w:r>
        <w:rPr>
          <w:rFonts w:hint="eastAsia"/>
        </w:rPr>
        <w:t>外观质量缺陷</w:t>
      </w:r>
    </w:p>
    <w:tbl>
      <w:tblPr>
        <w:tblStyle w:val="28"/>
        <w:tblW w:w="765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47"/>
        <w:gridCol w:w="2551"/>
        <w:gridCol w:w="1999"/>
        <w:gridCol w:w="1859"/>
      </w:tblGrid>
      <w:tr w14:paraId="451C16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7" w:type="dxa"/>
            <w:vAlign w:val="center"/>
          </w:tcPr>
          <w:p w14:paraId="5B5E0B12">
            <w:pPr>
              <w:pStyle w:val="55"/>
              <w:spacing w:before="31" w:after="31"/>
            </w:pPr>
            <w:r>
              <w:rPr>
                <w:rFonts w:hint="eastAsia"/>
              </w:rPr>
              <w:t>名称</w:t>
            </w:r>
          </w:p>
        </w:tc>
        <w:tc>
          <w:tcPr>
            <w:tcW w:w="2551" w:type="dxa"/>
            <w:vAlign w:val="center"/>
          </w:tcPr>
          <w:p w14:paraId="41DBA6BA">
            <w:pPr>
              <w:pStyle w:val="55"/>
              <w:spacing w:before="31" w:after="31"/>
            </w:pPr>
            <w:r>
              <w:rPr>
                <w:rFonts w:hint="eastAsia"/>
              </w:rPr>
              <w:t>现象</w:t>
            </w:r>
          </w:p>
        </w:tc>
        <w:tc>
          <w:tcPr>
            <w:tcW w:w="1999" w:type="dxa"/>
            <w:vAlign w:val="center"/>
          </w:tcPr>
          <w:p w14:paraId="22980AB5">
            <w:pPr>
              <w:pStyle w:val="55"/>
              <w:spacing w:before="31" w:after="31"/>
            </w:pPr>
            <w:r>
              <w:rPr>
                <w:rFonts w:hint="eastAsia"/>
              </w:rPr>
              <w:t>严重缺陷</w:t>
            </w:r>
          </w:p>
        </w:tc>
        <w:tc>
          <w:tcPr>
            <w:tcW w:w="1859" w:type="dxa"/>
            <w:vAlign w:val="center"/>
          </w:tcPr>
          <w:p w14:paraId="3DDF9320">
            <w:pPr>
              <w:pStyle w:val="55"/>
              <w:spacing w:before="31" w:after="31"/>
            </w:pPr>
            <w:r>
              <w:rPr>
                <w:rFonts w:hint="eastAsia"/>
              </w:rPr>
              <w:t>一般缺陷</w:t>
            </w:r>
          </w:p>
        </w:tc>
      </w:tr>
      <w:tr w14:paraId="06E3E8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7" w:type="dxa"/>
            <w:vAlign w:val="center"/>
          </w:tcPr>
          <w:p w14:paraId="61983192">
            <w:pPr>
              <w:pStyle w:val="55"/>
              <w:spacing w:before="31" w:after="31"/>
            </w:pPr>
            <w:r>
              <w:rPr>
                <w:rFonts w:hint="eastAsia"/>
              </w:rPr>
              <w:t>露筋</w:t>
            </w:r>
          </w:p>
        </w:tc>
        <w:tc>
          <w:tcPr>
            <w:tcW w:w="2551" w:type="dxa"/>
            <w:vAlign w:val="center"/>
          </w:tcPr>
          <w:p w14:paraId="26B29EA8">
            <w:pPr>
              <w:pStyle w:val="55"/>
              <w:spacing w:before="31" w:after="31"/>
            </w:pPr>
            <w:r>
              <w:rPr>
                <w:rFonts w:hint="eastAsia"/>
              </w:rPr>
              <w:t>钢筋网或拉结件未被高延性混凝土包裹而外露</w:t>
            </w:r>
          </w:p>
        </w:tc>
        <w:tc>
          <w:tcPr>
            <w:tcW w:w="1999" w:type="dxa"/>
            <w:vAlign w:val="center"/>
          </w:tcPr>
          <w:p w14:paraId="2D7D6D19">
            <w:pPr>
              <w:pStyle w:val="55"/>
              <w:spacing w:before="31" w:after="31"/>
            </w:pPr>
            <w:r>
              <w:rPr>
                <w:rFonts w:hint="eastAsia"/>
              </w:rPr>
              <w:t>受力钢筋外露</w:t>
            </w:r>
          </w:p>
        </w:tc>
        <w:tc>
          <w:tcPr>
            <w:tcW w:w="1859" w:type="dxa"/>
            <w:vAlign w:val="center"/>
          </w:tcPr>
          <w:p w14:paraId="3FCF184C">
            <w:pPr>
              <w:pStyle w:val="55"/>
              <w:spacing w:before="31" w:after="31"/>
            </w:pPr>
            <w:r>
              <w:rPr>
                <w:rFonts w:hint="eastAsia"/>
              </w:rPr>
              <w:t>按构造要求设置的钢筋有少量外露</w:t>
            </w:r>
          </w:p>
        </w:tc>
      </w:tr>
      <w:tr w14:paraId="2E0EC7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7" w:type="dxa"/>
            <w:vAlign w:val="center"/>
          </w:tcPr>
          <w:p w14:paraId="70608490">
            <w:pPr>
              <w:pStyle w:val="55"/>
              <w:spacing w:before="31" w:after="31"/>
            </w:pPr>
            <w:r>
              <w:rPr>
                <w:rFonts w:hint="eastAsia"/>
              </w:rPr>
              <w:t>疏松</w:t>
            </w:r>
          </w:p>
        </w:tc>
        <w:tc>
          <w:tcPr>
            <w:tcW w:w="2551" w:type="dxa"/>
            <w:vAlign w:val="center"/>
          </w:tcPr>
          <w:p w14:paraId="41CA6FDD">
            <w:pPr>
              <w:pStyle w:val="55"/>
              <w:spacing w:before="31" w:after="31"/>
            </w:pPr>
            <w:r>
              <w:rPr>
                <w:rFonts w:hint="eastAsia"/>
              </w:rPr>
              <w:t>高延性混凝土局部不密实</w:t>
            </w:r>
          </w:p>
        </w:tc>
        <w:tc>
          <w:tcPr>
            <w:tcW w:w="1999" w:type="dxa"/>
            <w:vAlign w:val="center"/>
          </w:tcPr>
          <w:p w14:paraId="0E324C54">
            <w:pPr>
              <w:pStyle w:val="55"/>
              <w:spacing w:before="31" w:after="31"/>
            </w:pPr>
            <w:r>
              <w:rPr>
                <w:rFonts w:hint="eastAsia"/>
              </w:rPr>
              <w:t>构件主要受力部位有疏松</w:t>
            </w:r>
          </w:p>
        </w:tc>
        <w:tc>
          <w:tcPr>
            <w:tcW w:w="1859" w:type="dxa"/>
            <w:vAlign w:val="center"/>
          </w:tcPr>
          <w:p w14:paraId="3AA6DA3A">
            <w:pPr>
              <w:pStyle w:val="55"/>
              <w:spacing w:before="31" w:after="31"/>
            </w:pPr>
            <w:r>
              <w:rPr>
                <w:rFonts w:hint="eastAsia"/>
              </w:rPr>
              <w:t>其他部位有少量疏松</w:t>
            </w:r>
          </w:p>
        </w:tc>
      </w:tr>
      <w:tr w14:paraId="6A3A05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7" w:type="dxa"/>
            <w:vAlign w:val="center"/>
          </w:tcPr>
          <w:p w14:paraId="07FEB679">
            <w:pPr>
              <w:pStyle w:val="55"/>
              <w:spacing w:before="31" w:after="31"/>
            </w:pPr>
            <w:r>
              <w:rPr>
                <w:rFonts w:hint="eastAsia"/>
              </w:rPr>
              <w:t>夹杂异物</w:t>
            </w:r>
          </w:p>
        </w:tc>
        <w:tc>
          <w:tcPr>
            <w:tcW w:w="2551" w:type="dxa"/>
            <w:vAlign w:val="center"/>
          </w:tcPr>
          <w:p w14:paraId="51AAF9BA">
            <w:pPr>
              <w:pStyle w:val="55"/>
              <w:spacing w:before="31" w:after="31"/>
            </w:pPr>
            <w:r>
              <w:rPr>
                <w:rFonts w:hint="eastAsia"/>
              </w:rPr>
              <w:t>高延性混凝土中夹有异物</w:t>
            </w:r>
          </w:p>
        </w:tc>
        <w:tc>
          <w:tcPr>
            <w:tcW w:w="1999" w:type="dxa"/>
            <w:vAlign w:val="center"/>
          </w:tcPr>
          <w:p w14:paraId="273B3022">
            <w:pPr>
              <w:pStyle w:val="55"/>
              <w:spacing w:before="31" w:after="31"/>
            </w:pPr>
            <w:r>
              <w:rPr>
                <w:rFonts w:hint="eastAsia"/>
              </w:rPr>
              <w:t>构件主要受力部位夹有异物</w:t>
            </w:r>
          </w:p>
        </w:tc>
        <w:tc>
          <w:tcPr>
            <w:tcW w:w="1859" w:type="dxa"/>
            <w:vAlign w:val="center"/>
          </w:tcPr>
          <w:p w14:paraId="24B260D8">
            <w:pPr>
              <w:pStyle w:val="55"/>
              <w:spacing w:before="31" w:after="31"/>
            </w:pPr>
            <w:r>
              <w:rPr>
                <w:rFonts w:hint="eastAsia"/>
              </w:rPr>
              <w:t>其他部位夹有少量异物</w:t>
            </w:r>
          </w:p>
        </w:tc>
      </w:tr>
      <w:tr w14:paraId="1905EC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7" w:type="dxa"/>
            <w:vAlign w:val="center"/>
          </w:tcPr>
          <w:p w14:paraId="4EFD6050">
            <w:pPr>
              <w:pStyle w:val="55"/>
              <w:spacing w:before="31" w:after="31"/>
            </w:pPr>
            <w:r>
              <w:rPr>
                <w:rFonts w:hint="eastAsia"/>
              </w:rPr>
              <w:t>硬化（或固化）不良</w:t>
            </w:r>
          </w:p>
        </w:tc>
        <w:tc>
          <w:tcPr>
            <w:tcW w:w="2551" w:type="dxa"/>
            <w:vAlign w:val="center"/>
          </w:tcPr>
          <w:p w14:paraId="6964CAE8">
            <w:pPr>
              <w:pStyle w:val="55"/>
              <w:spacing w:before="31" w:after="31"/>
            </w:pPr>
            <w:r>
              <w:rPr>
                <w:rFonts w:hint="eastAsia"/>
              </w:rPr>
              <w:t>高延性混凝土失效，致使面层不硬化</w:t>
            </w:r>
          </w:p>
        </w:tc>
        <w:tc>
          <w:tcPr>
            <w:tcW w:w="1999" w:type="dxa"/>
            <w:vAlign w:val="center"/>
          </w:tcPr>
          <w:p w14:paraId="5AC90B0F">
            <w:pPr>
              <w:pStyle w:val="55"/>
              <w:spacing w:before="31" w:after="31"/>
            </w:pPr>
            <w:r>
              <w:rPr>
                <w:rFonts w:hint="eastAsia"/>
              </w:rPr>
              <w:t>任何部位不硬化</w:t>
            </w:r>
          </w:p>
        </w:tc>
        <w:tc>
          <w:tcPr>
            <w:tcW w:w="1859" w:type="dxa"/>
            <w:vAlign w:val="center"/>
          </w:tcPr>
          <w:p w14:paraId="6DBA240D">
            <w:pPr>
              <w:pStyle w:val="55"/>
              <w:spacing w:before="31" w:after="31"/>
            </w:pPr>
            <w:r>
              <w:rPr>
                <w:rFonts w:hint="eastAsia"/>
              </w:rPr>
              <w:t>（不属于一般缺陷）</w:t>
            </w:r>
          </w:p>
        </w:tc>
      </w:tr>
      <w:tr w14:paraId="2F8837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7" w:type="dxa"/>
            <w:vAlign w:val="center"/>
          </w:tcPr>
          <w:p w14:paraId="134531E3">
            <w:pPr>
              <w:pStyle w:val="55"/>
              <w:spacing w:before="31" w:after="31"/>
            </w:pPr>
            <w:r>
              <w:rPr>
                <w:rFonts w:hint="eastAsia"/>
              </w:rPr>
              <w:t>裂缝</w:t>
            </w:r>
          </w:p>
        </w:tc>
        <w:tc>
          <w:tcPr>
            <w:tcW w:w="2551" w:type="dxa"/>
            <w:vAlign w:val="center"/>
          </w:tcPr>
          <w:p w14:paraId="609794C0">
            <w:pPr>
              <w:pStyle w:val="55"/>
              <w:spacing w:before="31" w:after="31"/>
            </w:pPr>
            <w:r>
              <w:rPr>
                <w:rFonts w:hint="eastAsia"/>
              </w:rPr>
              <w:t>缝隙从高延性混凝土面层表面延伸至内部</w:t>
            </w:r>
          </w:p>
        </w:tc>
        <w:tc>
          <w:tcPr>
            <w:tcW w:w="1999" w:type="dxa"/>
            <w:vAlign w:val="center"/>
          </w:tcPr>
          <w:p w14:paraId="323267F0">
            <w:pPr>
              <w:pStyle w:val="55"/>
              <w:spacing w:before="31" w:after="31"/>
            </w:pPr>
            <w:r>
              <w:rPr>
                <w:rFonts w:hint="eastAsia"/>
              </w:rPr>
              <w:t>构件主要受力部位有影响结构性能或使用功能的裂缝</w:t>
            </w:r>
          </w:p>
        </w:tc>
        <w:tc>
          <w:tcPr>
            <w:tcW w:w="1859" w:type="dxa"/>
            <w:vAlign w:val="center"/>
          </w:tcPr>
          <w:p w14:paraId="52CA2207">
            <w:pPr>
              <w:pStyle w:val="55"/>
              <w:spacing w:before="31" w:after="31"/>
            </w:pPr>
            <w:r>
              <w:rPr>
                <w:rFonts w:hint="eastAsia"/>
              </w:rPr>
              <w:t>仅有表面细裂纹</w:t>
            </w:r>
          </w:p>
        </w:tc>
      </w:tr>
      <w:tr w14:paraId="00DB1F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7" w:type="dxa"/>
            <w:vAlign w:val="center"/>
          </w:tcPr>
          <w:p w14:paraId="17B65150">
            <w:pPr>
              <w:pStyle w:val="55"/>
              <w:spacing w:before="31" w:after="31"/>
            </w:pPr>
            <w:r>
              <w:rPr>
                <w:rFonts w:hint="eastAsia"/>
              </w:rPr>
              <w:t>连接部位缺陷</w:t>
            </w:r>
          </w:p>
        </w:tc>
        <w:tc>
          <w:tcPr>
            <w:tcW w:w="2551" w:type="dxa"/>
            <w:vAlign w:val="center"/>
          </w:tcPr>
          <w:p w14:paraId="485A2960">
            <w:pPr>
              <w:pStyle w:val="55"/>
              <w:spacing w:before="31" w:after="31"/>
            </w:pPr>
            <w:r>
              <w:rPr>
                <w:rFonts w:hint="eastAsia"/>
              </w:rPr>
              <w:t>构件端部连接处高延性混凝土面层分离或锚固件与面层之间松动、脱落</w:t>
            </w:r>
          </w:p>
        </w:tc>
        <w:tc>
          <w:tcPr>
            <w:tcW w:w="1999" w:type="dxa"/>
            <w:vAlign w:val="center"/>
          </w:tcPr>
          <w:p w14:paraId="45F2345F">
            <w:pPr>
              <w:pStyle w:val="55"/>
              <w:spacing w:before="31" w:after="31"/>
            </w:pPr>
            <w:r>
              <w:rPr>
                <w:rFonts w:hint="eastAsia"/>
              </w:rPr>
              <w:t>连接部位有影响结构传力性能的缺陷</w:t>
            </w:r>
          </w:p>
        </w:tc>
        <w:tc>
          <w:tcPr>
            <w:tcW w:w="1859" w:type="dxa"/>
            <w:vAlign w:val="center"/>
          </w:tcPr>
          <w:p w14:paraId="77CFFAF2">
            <w:pPr>
              <w:pStyle w:val="55"/>
              <w:spacing w:before="31" w:after="31"/>
            </w:pPr>
            <w:r>
              <w:rPr>
                <w:rFonts w:hint="eastAsia"/>
              </w:rPr>
              <w:t>连接部位有轻微影响或不影响传力性能的缺陷</w:t>
            </w:r>
          </w:p>
        </w:tc>
      </w:tr>
    </w:tbl>
    <w:p w14:paraId="714DDECF">
      <w:pPr>
        <w:pStyle w:val="4"/>
      </w:pPr>
      <w:r>
        <w:rPr>
          <w:b/>
        </w:rPr>
        <w:t xml:space="preserve">8.3.2 </w:t>
      </w:r>
      <w:r>
        <w:t xml:space="preserve"> 高延性混凝土与基材界面粘结的施工质量，可采用现场锤击法或其他探测法进行探查。按探查结果确定的构件有效粘结面积与受检构件总粘结面积之比的百分率不小于90%进行合格判定。</w:t>
      </w:r>
    </w:p>
    <w:p w14:paraId="5369B0B9">
      <w:pPr>
        <w:ind w:firstLine="420"/>
      </w:pPr>
      <w:r>
        <w:t>检查数量：每一检验批抽取加固构件的5%，且不少于5个构件；不足5个构件时全部检查。</w:t>
      </w:r>
    </w:p>
    <w:p w14:paraId="18AD8273">
      <w:pPr>
        <w:ind w:firstLine="420"/>
      </w:pPr>
      <w:r>
        <w:t>检验方法：用小锤轻击或其他探测方法查空鼓。</w:t>
      </w:r>
    </w:p>
    <w:p w14:paraId="53723611">
      <w:pPr>
        <w:pStyle w:val="4"/>
      </w:pPr>
      <w:r>
        <w:rPr>
          <w:rFonts w:hint="eastAsia"/>
          <w:b/>
        </w:rPr>
        <w:t>8.3.</w:t>
      </w:r>
      <w:r>
        <w:rPr>
          <w:b/>
        </w:rPr>
        <w:t>3</w:t>
      </w:r>
      <w:r>
        <w:rPr>
          <w:rFonts w:hint="eastAsia"/>
          <w:b/>
        </w:rPr>
        <w:t xml:space="preserve">  </w:t>
      </w:r>
      <w:r>
        <w:rPr>
          <w:rFonts w:hint="eastAsia"/>
        </w:rPr>
        <w:t>高延性混凝土与基材之间的正拉粘结强度，应进行现场取样检验，以正拉粘结强度不小于0.6MPa或破坏形式为基材砖内聚破坏进行合格判定。</w:t>
      </w:r>
    </w:p>
    <w:p w14:paraId="5F90FE2B">
      <w:pPr>
        <w:ind w:firstLine="420"/>
      </w:pPr>
      <w:r>
        <w:t>检查数量：每一检验批</w:t>
      </w:r>
      <w:r>
        <w:rPr>
          <w:rFonts w:hint="eastAsia"/>
        </w:rPr>
        <w:t>按实际加固面层表面积均匀划分为若干区，每区100m</w:t>
      </w:r>
      <w:r>
        <w:rPr>
          <w:rFonts w:hint="eastAsia"/>
          <w:vertAlign w:val="superscript"/>
        </w:rPr>
        <w:t>2</w:t>
      </w:r>
      <w:r>
        <w:rPr>
          <w:rFonts w:hint="eastAsia"/>
        </w:rPr>
        <w:t>，不足100m</w:t>
      </w:r>
      <w:r>
        <w:rPr>
          <w:rFonts w:hint="eastAsia"/>
          <w:vertAlign w:val="superscript"/>
        </w:rPr>
        <w:t>2</w:t>
      </w:r>
      <w:r>
        <w:rPr>
          <w:rFonts w:hint="eastAsia"/>
        </w:rPr>
        <w:t>，按100m</w:t>
      </w:r>
      <w:r>
        <w:rPr>
          <w:rFonts w:hint="eastAsia"/>
          <w:vertAlign w:val="superscript"/>
        </w:rPr>
        <w:t>2</w:t>
      </w:r>
      <w:r>
        <w:rPr>
          <w:rFonts w:hint="eastAsia"/>
        </w:rPr>
        <w:t>计，每层不应少于1区；以每区为一个检验组，每组3个检验点。</w:t>
      </w:r>
    </w:p>
    <w:p w14:paraId="5873A936">
      <w:pPr>
        <w:ind w:firstLine="420"/>
      </w:pPr>
      <w:r>
        <w:t>检验方法：</w:t>
      </w:r>
      <w:r>
        <w:rPr>
          <w:rFonts w:hint="eastAsia"/>
        </w:rPr>
        <w:t>按现行国家标准《建筑结构加固工程施工质量验收规范》GB 50550附录U的有关规定执行</w:t>
      </w:r>
      <w:r>
        <w:t>。</w:t>
      </w:r>
    </w:p>
    <w:p w14:paraId="682F648A">
      <w:pPr>
        <w:pStyle w:val="4"/>
      </w:pPr>
      <w:r>
        <w:rPr>
          <w:b/>
        </w:rPr>
        <w:t>8.3.</w:t>
      </w:r>
      <w:r>
        <w:rPr>
          <w:rFonts w:hint="eastAsia"/>
          <w:b/>
        </w:rPr>
        <w:t>4</w:t>
      </w:r>
      <w:r>
        <w:t xml:space="preserve">  高延性混凝土面层或配筋高延性混凝土面层的厚度不应小于设计要求，且应按面层厚度仅允许出现正偏差、无负偏差进行合格判定，抽样合格率不应小于90%。</w:t>
      </w:r>
    </w:p>
    <w:p w14:paraId="7D30FFDC">
      <w:pPr>
        <w:ind w:firstLine="420"/>
      </w:pPr>
      <w:r>
        <w:t>检查数量：每一检验批抽取加固构件的5%，且不少于5个构件；不足5个构件时全部检查；每个构件抽查不少于3处。</w:t>
      </w:r>
    </w:p>
    <w:p w14:paraId="5BD4932E">
      <w:pPr>
        <w:ind w:firstLine="420"/>
      </w:pPr>
      <w:r>
        <w:t>检验方法：局部凿开或取芯后用钢尺测量。</w:t>
      </w:r>
    </w:p>
    <w:p w14:paraId="051F3A16">
      <w:pPr>
        <w:pStyle w:val="57"/>
      </w:pPr>
      <w:r>
        <w:t>注：面层厚度检验的检测误差不应大于1mm。</w:t>
      </w:r>
    </w:p>
    <w:p w14:paraId="1A040076">
      <w:pPr>
        <w:pStyle w:val="4"/>
      </w:pPr>
      <w:bookmarkStart w:id="759" w:name="_Toc27307683"/>
      <w:bookmarkStart w:id="760" w:name="_Toc27307543"/>
      <w:bookmarkStart w:id="761" w:name="_Toc25690654"/>
      <w:bookmarkStart w:id="762" w:name="_Toc25690925"/>
      <w:bookmarkStart w:id="763" w:name="_Toc27306538"/>
      <w:bookmarkStart w:id="764" w:name="_Toc27306677"/>
      <w:r>
        <w:t>8.3.</w:t>
      </w:r>
      <w:r>
        <w:rPr>
          <w:rFonts w:hint="eastAsia"/>
        </w:rPr>
        <w:t>5</w:t>
      </w:r>
      <w:r>
        <w:t xml:space="preserve">  </w:t>
      </w:r>
      <w:r>
        <w:rPr>
          <w:rFonts w:hint="eastAsia"/>
        </w:rPr>
        <w:t>嵌缝、</w:t>
      </w:r>
      <w:r>
        <w:t>新增钢筋、剪切销钉及各种锚固件、预埋件的锚固、连接、安装应符合设计文件</w:t>
      </w:r>
      <w:r>
        <w:rPr>
          <w:rFonts w:hint="eastAsia"/>
        </w:rPr>
        <w:t>和现行国家标准</w:t>
      </w:r>
      <w:r>
        <w:t>《混凝土结构工程施工质量验收规范》GB 50204以及本规程的相关要求；钢筋锚固的长度或深度应符合设计要求，锚固螺栓应紧固，锚孔注胶应密实；并应在高延性混凝土施工前进行隐蔽工程验收。</w:t>
      </w:r>
    </w:p>
    <w:p w14:paraId="269277A0">
      <w:pPr>
        <w:ind w:firstLine="420"/>
      </w:pPr>
      <w:r>
        <w:t>检查数量：全数检查。</w:t>
      </w:r>
    </w:p>
    <w:p w14:paraId="5C03F6E9">
      <w:pPr>
        <w:ind w:firstLine="420"/>
      </w:pPr>
      <w:r>
        <w:t>检验方法：尺量检查；观察检查；用扳手检查；核查隐蔽工程验收记录。</w:t>
      </w:r>
    </w:p>
    <w:p w14:paraId="1F2434EB">
      <w:pPr>
        <w:pStyle w:val="3"/>
      </w:pPr>
      <w:bookmarkStart w:id="765" w:name="_Toc207111734"/>
      <w:r>
        <w:t>II</w:t>
      </w:r>
      <w:r>
        <w:rPr>
          <w:rFonts w:hint="eastAsia"/>
        </w:rPr>
        <w:t xml:space="preserve">  </w:t>
      </w:r>
      <w:r>
        <w:t>一般项目</w:t>
      </w:r>
      <w:bookmarkEnd w:id="759"/>
      <w:bookmarkEnd w:id="760"/>
      <w:bookmarkEnd w:id="761"/>
      <w:bookmarkEnd w:id="762"/>
      <w:bookmarkEnd w:id="763"/>
      <w:bookmarkEnd w:id="764"/>
      <w:bookmarkEnd w:id="765"/>
    </w:p>
    <w:p w14:paraId="14D6ED57">
      <w:pPr>
        <w:pStyle w:val="4"/>
      </w:pPr>
      <w:r>
        <w:rPr>
          <w:b/>
        </w:rPr>
        <w:t>8.3.</w:t>
      </w:r>
      <w:r>
        <w:rPr>
          <w:rFonts w:hint="eastAsia"/>
          <w:b/>
        </w:rPr>
        <w:t>6</w:t>
      </w:r>
      <w:r>
        <w:t xml:space="preserve">  高延性混凝土面层中配置钢筋时，应对钢筋的保护层厚度进行检测，可采用局部凿开或取芯后检查法或非破损探测法。检测时，应按钢筋网保护层厚度仅允许有5mm正偏差、无负偏差进行合格判定</w:t>
      </w:r>
      <w:r>
        <w:rPr>
          <w:rFonts w:hint="eastAsia"/>
        </w:rPr>
        <w:t>，</w:t>
      </w:r>
      <w:r>
        <w:t>钢筋保护层厚度检验的检测误差不应大于1mm。</w:t>
      </w:r>
    </w:p>
    <w:p w14:paraId="145BD9E8">
      <w:pPr>
        <w:ind w:firstLine="420"/>
      </w:pPr>
      <w:r>
        <w:t>检查数量：每一检验批抽取加固构件的5%，且不少于5个构件；不足5个构件时全部检查。</w:t>
      </w:r>
    </w:p>
    <w:p w14:paraId="22C34EB5">
      <w:pPr>
        <w:ind w:firstLine="420"/>
      </w:pPr>
      <w:r>
        <w:t>检验方法：局部凿开或取芯后用钢尺测量，或采用非破损探测方法检测。</w:t>
      </w:r>
    </w:p>
    <w:p w14:paraId="39AF3CC9">
      <w:pPr>
        <w:pStyle w:val="4"/>
      </w:pPr>
      <w:r>
        <w:rPr>
          <w:b/>
        </w:rPr>
        <w:t>8.3.</w:t>
      </w:r>
      <w:r>
        <w:rPr>
          <w:rFonts w:hint="eastAsia"/>
          <w:b/>
        </w:rPr>
        <w:t>7</w:t>
      </w:r>
      <w:r>
        <w:t xml:space="preserve">  高延性混凝土面层或配筋高延性混凝土面层，其外观质量不宜有一般缺陷。对已出现的一般缺陷，应由施工单位按技术处理方案进行处理，并重新检查验收。</w:t>
      </w:r>
    </w:p>
    <w:p w14:paraId="12BBCC5B">
      <w:pPr>
        <w:ind w:firstLine="420"/>
      </w:pPr>
      <w:r>
        <w:t>检查数量：全数检查。</w:t>
      </w:r>
    </w:p>
    <w:p w14:paraId="499B70A9">
      <w:pPr>
        <w:ind w:firstLine="420"/>
      </w:pPr>
      <w:bookmarkStart w:id="766" w:name="_Toc24791"/>
      <w:bookmarkStart w:id="767" w:name="_Toc79615720"/>
      <w:r>
        <w:t>检验方法：观察、量测并检查技术处理方案。</w:t>
      </w:r>
      <w:bookmarkEnd w:id="766"/>
      <w:bookmarkEnd w:id="767"/>
    </w:p>
    <w:p w14:paraId="6B3DE6AC">
      <w:pPr>
        <w:pStyle w:val="3"/>
      </w:pPr>
      <w:bookmarkStart w:id="768" w:name="_Toc30013"/>
      <w:bookmarkStart w:id="769" w:name="_Toc62731341"/>
      <w:bookmarkStart w:id="770" w:name="_Toc8332"/>
      <w:bookmarkStart w:id="771" w:name="_Toc62732259"/>
      <w:bookmarkStart w:id="772" w:name="_Toc54713302"/>
      <w:bookmarkStart w:id="773" w:name="_Toc19387"/>
      <w:bookmarkStart w:id="774" w:name="_Toc17111"/>
      <w:bookmarkStart w:id="775" w:name="_Toc54712204"/>
      <w:bookmarkStart w:id="776" w:name="_Toc52211064"/>
      <w:bookmarkStart w:id="777" w:name="_Toc52210976"/>
      <w:bookmarkStart w:id="778" w:name="_Toc3111"/>
      <w:bookmarkStart w:id="779" w:name="_Toc207111735"/>
      <w:r>
        <w:t xml:space="preserve">8.4  </w:t>
      </w:r>
      <w:r>
        <w:rPr>
          <w:rFonts w:hint="eastAsia"/>
          <w:bCs/>
        </w:rPr>
        <w:t>竣工</w:t>
      </w:r>
      <w:r>
        <w:rPr>
          <w:bCs/>
        </w:rPr>
        <w:t>验收</w:t>
      </w:r>
      <w:bookmarkEnd w:id="768"/>
      <w:bookmarkEnd w:id="769"/>
      <w:bookmarkEnd w:id="770"/>
      <w:bookmarkEnd w:id="771"/>
      <w:bookmarkEnd w:id="772"/>
      <w:bookmarkEnd w:id="773"/>
      <w:bookmarkEnd w:id="774"/>
      <w:bookmarkEnd w:id="775"/>
      <w:bookmarkEnd w:id="776"/>
      <w:bookmarkEnd w:id="777"/>
      <w:bookmarkEnd w:id="778"/>
      <w:bookmarkEnd w:id="779"/>
    </w:p>
    <w:p w14:paraId="40C7482D">
      <w:pPr>
        <w:pStyle w:val="4"/>
      </w:pPr>
      <w:r>
        <w:rPr>
          <w:b/>
        </w:rPr>
        <w:t>8.4.1</w:t>
      </w:r>
      <w:r>
        <w:t xml:space="preserve">  高延性混凝土加固砌体工程竣工验收程序和组织应符合下列规定：</w:t>
      </w:r>
    </w:p>
    <w:p w14:paraId="3828AB35">
      <w:pPr>
        <w:ind w:firstLine="420"/>
      </w:pPr>
      <w:r>
        <w:t>1  检验批和分项工程应由监理工程师组织施工单位专业技术负责人及专业质量负责人进行验收；</w:t>
      </w:r>
    </w:p>
    <w:p w14:paraId="0B3CE753">
      <w:pPr>
        <w:ind w:firstLine="420"/>
      </w:pPr>
      <w:r>
        <w:t>2  子分部工程应由总监理工程师组织施工单位项目负责人和技术、安全、质量负责人进行验收；该加固项目设计单位工程项目负责人及施工单位部门负责人也应参加；</w:t>
      </w:r>
    </w:p>
    <w:p w14:paraId="3A83112D">
      <w:pPr>
        <w:ind w:firstLine="420"/>
      </w:pPr>
      <w:r>
        <w:t>3  各子分部工程验收完成后，施工单位应向建设单位提交分部工程验收报告，建设单位收到报告后，</w:t>
      </w:r>
      <w:r>
        <w:rPr>
          <w:rFonts w:hint="eastAsia"/>
        </w:rPr>
        <w:t>应指派其加固工程负责人组织施工（含分包单位）、设计、监理等单位负责人</w:t>
      </w:r>
      <w:r>
        <w:t>进行分部工程竣工验收；</w:t>
      </w:r>
    </w:p>
    <w:p w14:paraId="5136C3C3">
      <w:pPr>
        <w:ind w:firstLine="420"/>
      </w:pPr>
      <w:r>
        <w:t>4  分部工程竣工验收合格后，建设单位应负责办理有关建档和备案等事宜</w:t>
      </w:r>
      <w:r>
        <w:rPr>
          <w:rFonts w:hint="eastAsia"/>
        </w:rPr>
        <w:t>。</w:t>
      </w:r>
    </w:p>
    <w:p w14:paraId="3D00F691">
      <w:pPr>
        <w:ind w:firstLine="420"/>
      </w:pPr>
      <w:r>
        <w:rPr>
          <w:rFonts w:hint="eastAsia"/>
        </w:rPr>
        <w:t>5  若参加竣工验收各方对加固工程的安全和质量有异议，应请当地工程质量监督机构协调处理。</w:t>
      </w:r>
    </w:p>
    <w:p w14:paraId="68FFF3A3">
      <w:pPr>
        <w:pStyle w:val="4"/>
      </w:pPr>
      <w:r>
        <w:rPr>
          <w:b/>
        </w:rPr>
        <w:t>8.4.2</w:t>
      </w:r>
      <w:r>
        <w:t xml:space="preserve">  </w:t>
      </w:r>
      <w:r>
        <w:rPr>
          <w:rFonts w:hint="eastAsia"/>
        </w:rPr>
        <w:t>既有建筑高延性混凝土加固工程</w:t>
      </w:r>
      <w:r>
        <w:t>的施工质量应按下列要求进行竣工验收</w:t>
      </w:r>
      <w:r>
        <w:rPr>
          <w:rFonts w:hint="eastAsia"/>
        </w:rPr>
        <w:t>：</w:t>
      </w:r>
    </w:p>
    <w:p w14:paraId="3E32A1AF">
      <w:pPr>
        <w:ind w:firstLine="420"/>
      </w:pPr>
      <w:r>
        <w:t>1  加固工程施工质量应符合本规程和相关专业验收标准的规定，以及加固设计文件的要求</w:t>
      </w:r>
      <w:r>
        <w:rPr>
          <w:rFonts w:hint="eastAsia"/>
        </w:rPr>
        <w:t>；</w:t>
      </w:r>
    </w:p>
    <w:p w14:paraId="37719EE0">
      <w:pPr>
        <w:ind w:firstLine="420"/>
      </w:pPr>
      <w:r>
        <w:t>2  参与加固工程施工质量验收的各方人员应具备规定的资格；</w:t>
      </w:r>
    </w:p>
    <w:p w14:paraId="1CE8CB39">
      <w:pPr>
        <w:ind w:firstLine="420"/>
      </w:pPr>
      <w:r>
        <w:t>3  加固工程质量的验收应在施工单位自行检查评定合格的基础上进行；</w:t>
      </w:r>
    </w:p>
    <w:p w14:paraId="29C90700">
      <w:pPr>
        <w:ind w:firstLine="420"/>
      </w:pPr>
      <w:r>
        <w:t>4  隐蔽工程应在隐蔽前已由施工单位通知有关单位进行了验收，并已形成验收文件；</w:t>
      </w:r>
    </w:p>
    <w:p w14:paraId="201E54CF">
      <w:pPr>
        <w:ind w:firstLine="420"/>
      </w:pPr>
      <w:r>
        <w:t>5  涉及结构安全的检验项目，已按规定进行了见证取样检测，其检测报告的有效性已得到监理人员检查认可；</w:t>
      </w:r>
    </w:p>
    <w:p w14:paraId="46A83974">
      <w:pPr>
        <w:ind w:firstLine="420"/>
      </w:pPr>
      <w:r>
        <w:t>6  加固工程的观感质量应由验收人员进行现场检查。其检查结果的综合结论已得到验收组成员共同确认。</w:t>
      </w:r>
    </w:p>
    <w:p w14:paraId="3EB0F015">
      <w:pPr>
        <w:pStyle w:val="4"/>
      </w:pPr>
      <w:r>
        <w:rPr>
          <w:b/>
        </w:rPr>
        <w:t>8.4.3</w:t>
      </w:r>
      <w:r>
        <w:t xml:space="preserve">  </w:t>
      </w:r>
      <w:r>
        <w:rPr>
          <w:rFonts w:hint="eastAsia"/>
        </w:rPr>
        <w:t>既有建筑高延性混凝土加固工程</w:t>
      </w:r>
      <w:r>
        <w:t>子分部工程竣工验收时，应提供下列文件和记录：</w:t>
      </w:r>
    </w:p>
    <w:p w14:paraId="24F72069">
      <w:pPr>
        <w:ind w:firstLine="420"/>
      </w:pPr>
      <w:r>
        <w:t>1  设计变更文件</w:t>
      </w:r>
      <w:r>
        <w:rPr>
          <w:rFonts w:hint="eastAsia"/>
        </w:rPr>
        <w:t>；</w:t>
      </w:r>
    </w:p>
    <w:p w14:paraId="37A31A43">
      <w:pPr>
        <w:ind w:firstLine="420"/>
      </w:pPr>
      <w:r>
        <w:t>2  原材料、产品出厂检验合格证和涉及安全的原材料、产品的进场见证抽样复验报告；</w:t>
      </w:r>
    </w:p>
    <w:p w14:paraId="07334613">
      <w:pPr>
        <w:ind w:firstLine="420"/>
      </w:pPr>
      <w:r>
        <w:t>3  结构加固各工序应检项目的现场检查记录和检验报告；</w:t>
      </w:r>
    </w:p>
    <w:p w14:paraId="5513F030">
      <w:pPr>
        <w:ind w:firstLine="420"/>
      </w:pPr>
      <w:r>
        <w:t>4  施工过程质量控制记录；</w:t>
      </w:r>
    </w:p>
    <w:p w14:paraId="78F23E7F">
      <w:pPr>
        <w:ind w:firstLine="420"/>
      </w:pPr>
      <w:r>
        <w:t>5  隐蔽工程验收记录；</w:t>
      </w:r>
    </w:p>
    <w:p w14:paraId="00547EE8">
      <w:pPr>
        <w:ind w:firstLine="420"/>
      </w:pPr>
      <w:r>
        <w:t>6  加固工程质量问题的处理方案和验收记录；</w:t>
      </w:r>
    </w:p>
    <w:p w14:paraId="44954BFE">
      <w:pPr>
        <w:ind w:firstLine="420"/>
      </w:pPr>
      <w:r>
        <w:t>7  其他必要的文件和记录。</w:t>
      </w:r>
    </w:p>
    <w:p w14:paraId="2E913494">
      <w:pPr>
        <w:pStyle w:val="4"/>
      </w:pPr>
      <w:r>
        <w:rPr>
          <w:b/>
        </w:rPr>
        <w:t>8.4.4</w:t>
      </w:r>
      <w:r>
        <w:t xml:space="preserve">  子分部工程合格质量标准应符合下列规定：</w:t>
      </w:r>
    </w:p>
    <w:p w14:paraId="139AE9CF">
      <w:pPr>
        <w:ind w:firstLine="420"/>
      </w:pPr>
      <w:r>
        <w:t>1  子分部工程所含的各分项工程，其质量验收合格；</w:t>
      </w:r>
    </w:p>
    <w:p w14:paraId="39086E16">
      <w:pPr>
        <w:ind w:firstLine="420"/>
      </w:pPr>
      <w:r>
        <w:t>2  质量控制资料完整；</w:t>
      </w:r>
    </w:p>
    <w:p w14:paraId="13740B33">
      <w:pPr>
        <w:ind w:firstLine="420"/>
      </w:pPr>
      <w:r>
        <w:t>3  涉及安全的见证检验项目，其抽检结果符合本规程合格质量标准的要求；</w:t>
      </w:r>
    </w:p>
    <w:p w14:paraId="65DE68C2">
      <w:pPr>
        <w:ind w:firstLine="420"/>
      </w:pPr>
      <w:r>
        <w:t>4  观感质量经验收组成员共同确认合格。</w:t>
      </w:r>
    </w:p>
    <w:p w14:paraId="2065D463">
      <w:pPr>
        <w:pStyle w:val="4"/>
      </w:pPr>
      <w:bookmarkStart w:id="780" w:name="_Toc12533"/>
      <w:bookmarkStart w:id="781" w:name="_Toc13487"/>
      <w:r>
        <w:rPr>
          <w:b/>
        </w:rPr>
        <w:t>8.4.5</w:t>
      </w:r>
      <w:r>
        <w:t xml:space="preserve">  </w:t>
      </w:r>
      <w:r>
        <w:rPr>
          <w:rFonts w:hint="eastAsia"/>
        </w:rPr>
        <w:t>既有建筑高延性混凝土加固工程</w:t>
      </w:r>
      <w:r>
        <w:t>施工质量不合格时，应由施工单位返工重做，并重新检查、验收。若通过返工后仍不能满足安全使用要求的加固工程，严禁验收。</w:t>
      </w:r>
      <w:bookmarkEnd w:id="780"/>
      <w:bookmarkEnd w:id="781"/>
    </w:p>
    <w:p w14:paraId="7D91A1BE">
      <w:pPr>
        <w:spacing w:after="156"/>
        <w:ind w:firstLine="800"/>
        <w:rPr>
          <w:rFonts w:eastAsia="宋体" w:cs="Times New Roman"/>
          <w:snapToGrid w:val="0"/>
          <w:kern w:val="0"/>
          <w:sz w:val="40"/>
        </w:rPr>
      </w:pPr>
      <w:r>
        <w:rPr>
          <w:rFonts w:eastAsia="宋体" w:cs="Times New Roman"/>
          <w:snapToGrid w:val="0"/>
          <w:kern w:val="0"/>
          <w:sz w:val="40"/>
        </w:rPr>
        <w:br w:type="page"/>
      </w:r>
      <w:bookmarkEnd w:id="157"/>
      <w:bookmarkEnd w:id="158"/>
      <w:bookmarkEnd w:id="159"/>
      <w:bookmarkEnd w:id="160"/>
    </w:p>
    <w:p w14:paraId="5E740DA0">
      <w:pPr>
        <w:pStyle w:val="2"/>
        <w:spacing w:after="312"/>
        <w:rPr>
          <w:snapToGrid w:val="0"/>
        </w:rPr>
      </w:pPr>
      <w:bookmarkStart w:id="782" w:name="_Toc17185"/>
      <w:bookmarkStart w:id="783" w:name="_Toc207111736"/>
      <w:bookmarkStart w:id="784" w:name="_Toc9842"/>
      <w:bookmarkStart w:id="785" w:name="_Toc32317"/>
      <w:bookmarkStart w:id="786" w:name="_Toc27310"/>
      <w:bookmarkStart w:id="787" w:name="_Toc445664201"/>
      <w:bookmarkStart w:id="788" w:name="_Toc519684080"/>
      <w:bookmarkStart w:id="789" w:name="_Toc21960"/>
      <w:bookmarkStart w:id="790" w:name="_Toc535475940"/>
      <w:bookmarkStart w:id="791" w:name="_Toc532464298"/>
      <w:bookmarkStart w:id="792" w:name="_Toc71402357"/>
      <w:bookmarkStart w:id="793" w:name="_Toc47114664"/>
      <w:bookmarkStart w:id="794" w:name="_Toc79615819"/>
      <w:bookmarkStart w:id="795" w:name="_Toc17131337"/>
      <w:bookmarkStart w:id="796" w:name="_Toc51078947"/>
      <w:bookmarkStart w:id="797" w:name="_Toc50101516"/>
      <w:bookmarkStart w:id="798" w:name="_Toc71402587"/>
      <w:bookmarkStart w:id="799" w:name="_Toc18602340"/>
      <w:bookmarkStart w:id="800" w:name="_Toc10604"/>
      <w:bookmarkStart w:id="801" w:name="_Toc445666222"/>
      <w:bookmarkStart w:id="802" w:name="_Toc535338388"/>
      <w:bookmarkStart w:id="803" w:name="_Toc47114748"/>
      <w:bookmarkStart w:id="804" w:name="_Toc17276586"/>
      <w:bookmarkStart w:id="805" w:name="_Toc511231731"/>
      <w:bookmarkStart w:id="806" w:name="_Toc511230990"/>
      <w:r>
        <w:rPr>
          <w:rFonts w:hint="eastAsia"/>
          <w:snapToGrid w:val="0"/>
        </w:rPr>
        <w:t>附录A  高延性混凝土弯曲试验方法</w:t>
      </w:r>
      <w:bookmarkEnd w:id="782"/>
      <w:bookmarkEnd w:id="783"/>
      <w:bookmarkEnd w:id="784"/>
      <w:bookmarkEnd w:id="785"/>
    </w:p>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14:paraId="0B42E983">
      <w:pPr>
        <w:pStyle w:val="4"/>
      </w:pPr>
      <w:r>
        <w:rPr>
          <w:rFonts w:hint="eastAsia"/>
          <w:b/>
        </w:rPr>
        <w:t xml:space="preserve">A.0.1  </w:t>
      </w:r>
      <w:r>
        <w:rPr>
          <w:rFonts w:hint="eastAsia" w:hAnsi="Calibri"/>
        </w:rPr>
        <w:t>试验设备（</w:t>
      </w:r>
      <w:r>
        <w:t>图A.0.</w:t>
      </w:r>
      <w:r>
        <w:rPr>
          <w:rFonts w:hint="eastAsia"/>
        </w:rPr>
        <w:t>1</w:t>
      </w:r>
      <w:r>
        <w:rPr>
          <w:rFonts w:hint="eastAsia" w:hAnsi="Calibri"/>
        </w:rPr>
        <w:t>）应符合下列规定：</w:t>
      </w:r>
    </w:p>
    <w:p w14:paraId="2104F7D2">
      <w:pPr>
        <w:spacing w:after="156"/>
        <w:ind w:firstLine="420"/>
        <w:jc w:val="center"/>
      </w:pPr>
      <w:r>
        <w:drawing>
          <wp:inline distT="0" distB="0" distL="114300" distR="114300">
            <wp:extent cx="3569335" cy="2956560"/>
            <wp:effectExtent l="0" t="0" r="0" b="0"/>
            <wp:docPr id="18"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0"/>
                    <pic:cNvPicPr>
                      <a:picLocks noChangeAspect="1"/>
                    </pic:cNvPicPr>
                  </pic:nvPicPr>
                  <pic:blipFill>
                    <a:blip r:embed="rId466"/>
                    <a:stretch>
                      <a:fillRect/>
                    </a:stretch>
                  </pic:blipFill>
                  <pic:spPr>
                    <a:xfrm>
                      <a:off x="0" y="0"/>
                      <a:ext cx="3569335" cy="2956560"/>
                    </a:xfrm>
                    <a:prstGeom prst="rect">
                      <a:avLst/>
                    </a:prstGeom>
                    <a:noFill/>
                    <a:ln>
                      <a:noFill/>
                    </a:ln>
                  </pic:spPr>
                </pic:pic>
              </a:graphicData>
            </a:graphic>
          </wp:inline>
        </w:drawing>
      </w:r>
    </w:p>
    <w:p w14:paraId="56A3F3BA">
      <w:pPr>
        <w:spacing w:before="156" w:beforeLines="50" w:after="312" w:line="312" w:lineRule="auto"/>
        <w:ind w:firstLine="420"/>
        <w:jc w:val="center"/>
        <w:rPr>
          <w:rFonts w:eastAsia="黑体" w:cs="Times New Roman"/>
          <w:szCs w:val="21"/>
        </w:rPr>
      </w:pPr>
      <w:r>
        <w:rPr>
          <w:rFonts w:eastAsia="黑体" w:cs="Times New Roman"/>
          <w:szCs w:val="21"/>
        </w:rPr>
        <w:t>图A.0.</w:t>
      </w:r>
      <w:r>
        <w:rPr>
          <w:rFonts w:hint="eastAsia" w:eastAsia="黑体" w:cs="Times New Roman"/>
          <w:szCs w:val="21"/>
        </w:rPr>
        <w:t>1</w:t>
      </w:r>
      <w:r>
        <w:rPr>
          <w:rFonts w:eastAsia="黑体" w:cs="Times New Roman"/>
          <w:szCs w:val="21"/>
        </w:rPr>
        <w:t xml:space="preserve"> 抗弯试验加载装置</w:t>
      </w:r>
    </w:p>
    <w:p w14:paraId="6ACA0880">
      <w:pPr>
        <w:spacing w:after="312" w:line="312" w:lineRule="auto"/>
        <w:ind w:firstLine="420"/>
        <w:jc w:val="center"/>
        <w:rPr>
          <w:rFonts w:cs="Times New Roman"/>
          <w:szCs w:val="21"/>
        </w:rPr>
      </w:pPr>
      <w:r>
        <w:rPr>
          <w:rFonts w:cs="Times New Roman"/>
          <w:szCs w:val="21"/>
        </w:rPr>
        <w:t>1-加载分配梁；2</w:t>
      </w:r>
      <w:r>
        <w:rPr>
          <w:rFonts w:hint="eastAsia" w:cs="Times New Roman"/>
          <w:szCs w:val="21"/>
        </w:rPr>
        <w:t>-</w:t>
      </w:r>
      <w:r>
        <w:rPr>
          <w:rFonts w:cs="Times New Roman"/>
          <w:szCs w:val="21"/>
        </w:rPr>
        <w:t>分配梁辊轴；3</w:t>
      </w:r>
      <w:r>
        <w:rPr>
          <w:rFonts w:hint="eastAsia" w:cs="Times New Roman"/>
          <w:szCs w:val="21"/>
        </w:rPr>
        <w:t>-</w:t>
      </w:r>
      <w:r>
        <w:rPr>
          <w:rFonts w:cs="Times New Roman"/>
          <w:szCs w:val="21"/>
        </w:rPr>
        <w:t>试件；4</w:t>
      </w:r>
      <w:r>
        <w:rPr>
          <w:rFonts w:hint="eastAsia" w:cs="Times New Roman"/>
          <w:szCs w:val="21"/>
        </w:rPr>
        <w:t>-</w:t>
      </w:r>
      <w:r>
        <w:rPr>
          <w:rFonts w:cs="Times New Roman"/>
          <w:szCs w:val="21"/>
        </w:rPr>
        <w:t>支座；</w:t>
      </w:r>
    </w:p>
    <w:p w14:paraId="63B4FFD9">
      <w:pPr>
        <w:spacing w:after="312" w:line="312" w:lineRule="auto"/>
        <w:ind w:firstLine="420"/>
        <w:jc w:val="center"/>
        <w:rPr>
          <w:rFonts w:cs="Times New Roman"/>
          <w:szCs w:val="21"/>
        </w:rPr>
      </w:pPr>
      <w:r>
        <w:rPr>
          <w:rFonts w:cs="Times New Roman"/>
          <w:szCs w:val="21"/>
        </w:rPr>
        <w:t>5</w:t>
      </w:r>
      <w:r>
        <w:rPr>
          <w:rFonts w:hint="eastAsia" w:cs="Times New Roman"/>
          <w:szCs w:val="21"/>
        </w:rPr>
        <w:t>-</w:t>
      </w:r>
      <w:r>
        <w:rPr>
          <w:rFonts w:cs="Times New Roman"/>
          <w:szCs w:val="21"/>
        </w:rPr>
        <w:t>座辊轴；6</w:t>
      </w:r>
      <w:r>
        <w:rPr>
          <w:rFonts w:hint="eastAsia" w:cs="Times New Roman"/>
          <w:szCs w:val="21"/>
        </w:rPr>
        <w:t>-</w:t>
      </w:r>
      <w:r>
        <w:rPr>
          <w:rFonts w:cs="Times New Roman"/>
          <w:szCs w:val="21"/>
        </w:rPr>
        <w:t>位移计</w:t>
      </w:r>
    </w:p>
    <w:p w14:paraId="31C810A8">
      <w:pPr>
        <w:ind w:firstLine="422"/>
      </w:pPr>
      <w:r>
        <w:rPr>
          <w:b/>
          <w:bCs/>
        </w:rPr>
        <w:t xml:space="preserve">1  </w:t>
      </w:r>
      <w:r>
        <w:t>试验机宜采用液压伺服万能试验机或带有弯曲试验台的伺服式压力试验机，示值相对误差不应大于1.0%，试验时的最大荷载宜在量程的20%~80%以内。</w:t>
      </w:r>
    </w:p>
    <w:p w14:paraId="6333DB4A">
      <w:pPr>
        <w:ind w:firstLine="422"/>
      </w:pPr>
      <w:r>
        <w:rPr>
          <w:b/>
          <w:bCs/>
        </w:rPr>
        <w:t xml:space="preserve">2  </w:t>
      </w:r>
      <w:r>
        <w:t>试验室的温度应保持在20±5℃。</w:t>
      </w:r>
    </w:p>
    <w:p w14:paraId="5770930D">
      <w:pPr>
        <w:ind w:firstLine="422"/>
      </w:pPr>
      <w:r>
        <w:rPr>
          <w:b/>
          <w:bCs/>
        </w:rPr>
        <w:t xml:space="preserve">3  </w:t>
      </w:r>
      <w:r>
        <w:t>加载点</w:t>
      </w:r>
      <w:r>
        <w:rPr>
          <w:rFonts w:hint="eastAsia"/>
        </w:rPr>
        <w:t>应设在</w:t>
      </w:r>
      <w:r>
        <w:t>分配梁中点</w:t>
      </w:r>
      <w:r>
        <w:rPr>
          <w:rFonts w:hint="eastAsia"/>
        </w:rPr>
        <w:t>处</w:t>
      </w:r>
      <w:r>
        <w:t>，在试件标距三分点处</w:t>
      </w:r>
      <w:r>
        <w:rPr>
          <w:rFonts w:hint="eastAsia"/>
        </w:rPr>
        <w:t>应</w:t>
      </w:r>
      <w:r>
        <w:t>设有两个加压辊轴，辊轴直径</w:t>
      </w:r>
      <w:r>
        <w:rPr>
          <w:rFonts w:hint="eastAsia"/>
        </w:rPr>
        <w:t>为应在</w:t>
      </w:r>
      <w:r>
        <w:t>10mm~12mm</w:t>
      </w:r>
      <w:r>
        <w:rPr>
          <w:rFonts w:hint="eastAsia"/>
        </w:rPr>
        <w:t>之间</w:t>
      </w:r>
      <w:r>
        <w:t>。</w:t>
      </w:r>
    </w:p>
    <w:p w14:paraId="14C64C84">
      <w:pPr>
        <w:ind w:firstLine="422"/>
      </w:pPr>
      <w:r>
        <w:rPr>
          <w:b/>
          <w:bCs/>
        </w:rPr>
        <w:t xml:space="preserve">4  </w:t>
      </w:r>
      <w:r>
        <w:t>与试件接触的两个辊轴铰支座，支座长度</w:t>
      </w:r>
      <w:r>
        <w:rPr>
          <w:rFonts w:hint="eastAsia"/>
        </w:rPr>
        <w:t>应</w:t>
      </w:r>
      <w:r>
        <w:t>比试件宽度长10mm</w:t>
      </w:r>
      <w:r>
        <w:rPr>
          <w:rFonts w:hint="eastAsia"/>
        </w:rPr>
        <w:t>，</w:t>
      </w:r>
      <w:r>
        <w:t>辊轴弧形直径</w:t>
      </w:r>
      <w:r>
        <w:rPr>
          <w:rFonts w:hint="eastAsia"/>
        </w:rPr>
        <w:t>应在</w:t>
      </w:r>
      <w:r>
        <w:t>10mm~12mm</w:t>
      </w:r>
      <w:r>
        <w:rPr>
          <w:rFonts w:hint="eastAsia"/>
        </w:rPr>
        <w:t>之间</w:t>
      </w:r>
      <w:r>
        <w:t>。</w:t>
      </w:r>
    </w:p>
    <w:p w14:paraId="167221EC">
      <w:pPr>
        <w:ind w:firstLine="422"/>
      </w:pPr>
      <w:r>
        <w:rPr>
          <w:b/>
          <w:bCs/>
        </w:rPr>
        <w:t xml:space="preserve">5  </w:t>
      </w:r>
      <w:r>
        <w:t>挠度测量装置应符合图A.0.</w:t>
      </w:r>
      <w:r>
        <w:rPr>
          <w:rFonts w:hint="eastAsia"/>
        </w:rPr>
        <w:t>1</w:t>
      </w:r>
      <w:r>
        <w:t>的要求，并应包括固定测量挠度仪表的支座；位移计量程不小于20mm，精度不应低于0.001mm，测试点位于试件底部跨中位置。</w:t>
      </w:r>
    </w:p>
    <w:p w14:paraId="338C1687">
      <w:pPr>
        <w:ind w:firstLine="422"/>
      </w:pPr>
      <w:r>
        <w:rPr>
          <w:b/>
          <w:bCs/>
        </w:rPr>
        <w:t xml:space="preserve">6  </w:t>
      </w:r>
      <w:r>
        <w:t>荷载测量传感器应准确测量施加于试件上的荷载，测量精度不应低于0.1N。</w:t>
      </w:r>
    </w:p>
    <w:p w14:paraId="204910F0">
      <w:pPr>
        <w:ind w:firstLine="422"/>
      </w:pPr>
      <w:r>
        <w:rPr>
          <w:b/>
          <w:bCs/>
        </w:rPr>
        <w:t xml:space="preserve">7  </w:t>
      </w:r>
      <w:r>
        <w:t>测试数据采集应连续自动完成，可通过模数转换器与计算机连接，有程序控制，采样频率不宜低于10Hz。</w:t>
      </w:r>
    </w:p>
    <w:p w14:paraId="2E1B7D23">
      <w:pPr>
        <w:ind w:firstLine="420"/>
      </w:pPr>
      <w:r>
        <w:t>8  其他：钢直尺、精度不低于0.5mm；游标卡尺、精度不低于0.1mm。</w:t>
      </w:r>
    </w:p>
    <w:p w14:paraId="6F9C7929">
      <w:pPr>
        <w:pStyle w:val="4"/>
      </w:pPr>
      <w:r>
        <w:rPr>
          <w:b/>
        </w:rPr>
        <w:t>A.0.</w:t>
      </w:r>
      <w:r>
        <w:rPr>
          <w:rFonts w:hint="eastAsia"/>
          <w:b/>
        </w:rPr>
        <w:t>2</w:t>
      </w:r>
      <w:r>
        <w:t xml:space="preserve">  试验测试</w:t>
      </w:r>
      <w:r>
        <w:rPr>
          <w:rFonts w:hint="eastAsia"/>
        </w:rPr>
        <w:t>过程</w:t>
      </w:r>
      <w:r>
        <w:t>应按下列</w:t>
      </w:r>
      <w:r>
        <w:rPr>
          <w:rFonts w:hint="eastAsia"/>
        </w:rPr>
        <w:t>要求</w:t>
      </w:r>
      <w:r>
        <w:t>进行：</w:t>
      </w:r>
    </w:p>
    <w:p w14:paraId="60E104BE">
      <w:pPr>
        <w:ind w:firstLine="422"/>
      </w:pPr>
      <w:r>
        <w:rPr>
          <w:b/>
        </w:rPr>
        <w:t>1</w:t>
      </w:r>
      <w:r>
        <w:t xml:space="preserve">  试件应按本规程附录B有关规定进行制作和养护，从养护地点取出试件，擦净后检查外观，不</w:t>
      </w:r>
      <w:r>
        <w:rPr>
          <w:rFonts w:hint="eastAsia"/>
        </w:rPr>
        <w:t>应</w:t>
      </w:r>
      <w:r>
        <w:t>有明显缺损，在跨中</w:t>
      </w:r>
      <w:r>
        <w:rPr>
          <w:i/>
        </w:rPr>
        <w:t>l</w:t>
      </w:r>
      <w:r>
        <w:t>/3的纯弯段内不得有直径大于2mm、深度大于2mm的表面缺陷。</w:t>
      </w:r>
    </w:p>
    <w:p w14:paraId="337FC7C3">
      <w:pPr>
        <w:ind w:firstLine="422"/>
      </w:pPr>
      <w:r>
        <w:rPr>
          <w:b/>
        </w:rPr>
        <w:t>2</w:t>
      </w:r>
      <w:r>
        <w:t xml:space="preserve">  将试件成型时的浇筑侧面作为承荷面，安放在支座上。按图A.0.2规定尺寸和三分点位置加荷的规定，检查支座及分配梁位置，所有间距尺寸偏差不应大于±1mm。</w:t>
      </w:r>
    </w:p>
    <w:p w14:paraId="481F5C68">
      <w:pPr>
        <w:ind w:firstLine="422"/>
      </w:pPr>
      <w:r>
        <w:rPr>
          <w:b/>
        </w:rPr>
        <w:t xml:space="preserve">3 </w:t>
      </w:r>
      <w:r>
        <w:t xml:space="preserve"> 试件放稳对中后启动试验机，当分配梁辊轴与试件接近时，调整分配梁和支座，使接触均衡。压头及支座不能前后倾斜，各接触不良处应予以垫平。</w:t>
      </w:r>
    </w:p>
    <w:p w14:paraId="7628D014">
      <w:pPr>
        <w:ind w:firstLine="422"/>
      </w:pPr>
      <w:r>
        <w:rPr>
          <w:b/>
        </w:rPr>
        <w:t>4</w:t>
      </w:r>
      <w:r>
        <w:t xml:space="preserve">  试件安放好后，施加一定的预压荷载，停机检查试件与压头及支座的接触情况，确保试件不发生扭动，然后安装测量跨中挠度的位移计。</w:t>
      </w:r>
    </w:p>
    <w:p w14:paraId="16C3885A">
      <w:pPr>
        <w:ind w:firstLine="422"/>
      </w:pPr>
      <w:r>
        <w:rPr>
          <w:b/>
        </w:rPr>
        <w:t>5</w:t>
      </w:r>
      <w:r>
        <w:t xml:space="preserve">  安装测量变形的仪表时首先接通测试线路并做空载调试，然后做预压调试，待测试系统工作正常后方可进行正式试验。</w:t>
      </w:r>
    </w:p>
    <w:p w14:paraId="6652AC8D">
      <w:pPr>
        <w:ind w:firstLine="422"/>
      </w:pPr>
      <w:r>
        <w:rPr>
          <w:b/>
        </w:rPr>
        <w:t>6</w:t>
      </w:r>
      <w:r>
        <w:t xml:space="preserve">  对试件按位移控制加荷，加载应连续、均匀，加载速率取2~3mm/min。</w:t>
      </w:r>
      <w:r>
        <w:rPr>
          <w:rFonts w:hint="eastAsia"/>
        </w:rPr>
        <w:t>若试件在受拉面跨度三分点以外断裂，则该试件试验结果判定无效，应重新按步骤进行试验。</w:t>
      </w:r>
    </w:p>
    <w:p w14:paraId="0CB27E7C">
      <w:pPr>
        <w:ind w:firstLine="422"/>
      </w:pPr>
      <w:r>
        <w:rPr>
          <w:b/>
        </w:rPr>
        <w:t>7</w:t>
      </w:r>
      <w:r>
        <w:t xml:space="preserve">  绘制荷载-挠度曲线。</w:t>
      </w:r>
    </w:p>
    <w:p w14:paraId="36AB05AF">
      <w:pPr>
        <w:pStyle w:val="4"/>
        <w:rPr>
          <w:b/>
        </w:rPr>
      </w:pPr>
      <w:r>
        <w:rPr>
          <w:b/>
        </w:rPr>
        <w:t>A.0.</w:t>
      </w:r>
      <w:r>
        <w:rPr>
          <w:rFonts w:hint="eastAsia"/>
          <w:b/>
        </w:rPr>
        <w:t>3</w:t>
      </w:r>
      <w:r>
        <w:rPr>
          <w:b/>
        </w:rPr>
        <w:t xml:space="preserve">  </w:t>
      </w:r>
      <w:r>
        <w:t>试件尺寸为40mm×40mm×160mm，试验跨度L=150mm。</w:t>
      </w:r>
    </w:p>
    <w:p w14:paraId="5A05CB9C">
      <w:pPr>
        <w:pStyle w:val="4"/>
      </w:pPr>
      <w:r>
        <w:rPr>
          <w:b/>
        </w:rPr>
        <w:t>A.0.</w:t>
      </w:r>
      <w:r>
        <w:rPr>
          <w:rFonts w:hint="eastAsia"/>
          <w:b/>
        </w:rPr>
        <w:t>4</w:t>
      </w:r>
      <w:r>
        <w:rPr>
          <w:b/>
        </w:rPr>
        <w:t xml:space="preserve">  </w:t>
      </w:r>
      <w:r>
        <w:t>试件的等效弯曲强度</w:t>
      </w:r>
      <w:r>
        <w:rPr>
          <w:position w:val="-14"/>
        </w:rPr>
        <w:object>
          <v:shape id="_x0000_i1259" o:spt="75" type="#_x0000_t75" style="height:19.9pt;width:16.1pt;" o:ole="t" filled="f" o:preferrelative="t" stroked="f" coordsize="21600,21600">
            <v:path/>
            <v:fill on="f" focussize="0,0"/>
            <v:stroke on="f" joinstyle="miter"/>
            <v:imagedata r:id="rId468" embosscolor="#FFFFFF" o:title=""/>
            <o:lock v:ext="edit" aspectratio="t"/>
            <w10:wrap type="none"/>
            <w10:anchorlock/>
          </v:shape>
          <o:OLEObject Type="Embed" ProgID="Equation.DSMT4" ShapeID="_x0000_i1259" DrawAspect="Content" ObjectID="_1468075957" r:id="rId467">
            <o:LockedField>false</o:LockedField>
          </o:OLEObject>
        </w:object>
      </w:r>
      <w:r>
        <w:rPr>
          <w:rFonts w:hint="eastAsia"/>
        </w:rPr>
        <w:t>应</w:t>
      </w:r>
      <w:r>
        <w:t>按下式计算：</w:t>
      </w:r>
    </w:p>
    <w:p w14:paraId="2B6112FD">
      <w:pPr>
        <w:wordWrap w:val="0"/>
        <w:spacing w:after="312" w:line="312" w:lineRule="auto"/>
        <w:ind w:firstLine="560"/>
        <w:jc w:val="right"/>
        <w:rPr>
          <w:rFonts w:cs="Times New Roman"/>
          <w:sz w:val="28"/>
          <w:szCs w:val="28"/>
        </w:rPr>
      </w:pPr>
      <w:bookmarkStart w:id="807" w:name="_Toc534633675"/>
      <w:bookmarkStart w:id="808" w:name="_Toc535338389"/>
      <w:bookmarkStart w:id="809" w:name="_Toc439188406"/>
      <w:bookmarkStart w:id="810" w:name="_Toc519683898"/>
      <w:bookmarkStart w:id="811" w:name="_Toc519684081"/>
      <w:bookmarkStart w:id="812" w:name="_Toc7976248"/>
      <w:bookmarkStart w:id="813" w:name="_Toc535475941"/>
      <w:bookmarkStart w:id="814" w:name="_Toc515087730"/>
      <w:bookmarkStart w:id="815" w:name="_Toc17276587"/>
      <w:bookmarkStart w:id="816" w:name="_Toc17131096"/>
      <w:bookmarkStart w:id="817" w:name="_Toc445665802"/>
      <w:bookmarkStart w:id="818" w:name="_Toc504569991"/>
      <w:bookmarkStart w:id="819" w:name="_Toc532464299"/>
      <w:bookmarkStart w:id="820" w:name="_Toc18600625"/>
      <w:bookmarkStart w:id="821" w:name="_Toc445666166"/>
      <w:bookmarkStart w:id="822" w:name="_Toc450148290"/>
      <w:bookmarkStart w:id="823" w:name="_Toc17276378"/>
      <w:bookmarkStart w:id="824" w:name="_Toc18602341"/>
      <w:bookmarkStart w:id="825" w:name="_Toc445664202"/>
      <w:bookmarkStart w:id="826" w:name="_Toc436908207"/>
      <w:bookmarkStart w:id="827" w:name="_Toc445666223"/>
      <w:bookmarkStart w:id="828" w:name="_Toc17278124"/>
      <w:bookmarkStart w:id="829" w:name="_Toc17131338"/>
      <w:bookmarkStart w:id="830" w:name="_Toc515893935"/>
      <w:bookmarkStart w:id="831" w:name="_Toc439188279"/>
      <w:bookmarkStart w:id="832" w:name="_Toc9927819"/>
      <w:bookmarkStart w:id="833" w:name="_Toc532461022"/>
      <w:r>
        <w:rPr>
          <w:rFonts w:cs="Times New Roman"/>
          <w:position w:val="-30"/>
          <w:sz w:val="28"/>
          <w:szCs w:val="28"/>
        </w:rPr>
        <w:object>
          <v:shape id="_x0000_i1260" o:spt="75" type="#_x0000_t75" style="height:34.4pt;width:56.95pt;" o:ole="t" filled="f" o:preferrelative="t" stroked="f" coordsize="21600,21600">
            <v:path/>
            <v:fill on="f" focussize="0,0"/>
            <v:stroke on="f" joinstyle="miter"/>
            <v:imagedata r:id="rId470" embosscolor="#FFFFFF" o:title=""/>
            <o:lock v:ext="edit" aspectratio="t"/>
            <w10:wrap type="none"/>
            <w10:anchorlock/>
          </v:shape>
          <o:OLEObject Type="Embed" ProgID="Equation.DSMT4" ShapeID="_x0000_i1260" DrawAspect="Content" ObjectID="_1468075958" r:id="rId469">
            <o:LockedField>false</o:LockedField>
          </o:OLEObject>
        </w:object>
      </w:r>
      <w:r>
        <w:rPr>
          <w:rFonts w:cs="Times New Roman"/>
          <w:sz w:val="28"/>
          <w:szCs w:val="28"/>
        </w:rPr>
        <w:t xml:space="preserve">                   （A.0.</w:t>
      </w:r>
      <w:r>
        <w:rPr>
          <w:rFonts w:hint="eastAsia" w:cs="Times New Roman"/>
          <w:sz w:val="28"/>
          <w:szCs w:val="28"/>
        </w:rPr>
        <w:t>4</w:t>
      </w:r>
      <w:r>
        <w:rPr>
          <w:rFonts w:cs="Times New Roman"/>
          <w:sz w:val="28"/>
          <w:szCs w:val="28"/>
        </w:rPr>
        <w:t>）</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6513"/>
      </w:tblGrid>
      <w:tr w14:paraId="1E53F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413" w:type="dxa"/>
          </w:tcPr>
          <w:p w14:paraId="46223C4A">
            <w:pPr>
              <w:pStyle w:val="55"/>
              <w:spacing w:before="31" w:after="31"/>
            </w:pPr>
            <w:r>
              <w:t>式中：</w:t>
            </w:r>
          </w:p>
        </w:tc>
        <w:tc>
          <w:tcPr>
            <w:tcW w:w="6513" w:type="dxa"/>
          </w:tcPr>
          <w:p w14:paraId="2A6FCE8E">
            <w:pPr>
              <w:pStyle w:val="55"/>
              <w:spacing w:before="31" w:after="31"/>
            </w:pPr>
          </w:p>
        </w:tc>
      </w:tr>
      <w:tr w14:paraId="2FA40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413" w:type="dxa"/>
          </w:tcPr>
          <w:p w14:paraId="1661C11C">
            <w:pPr>
              <w:pStyle w:val="55"/>
              <w:spacing w:before="31" w:after="31"/>
            </w:pPr>
            <w:r>
              <w:rPr>
                <w:position w:val="-14"/>
              </w:rPr>
              <w:object>
                <v:shape id="_x0000_i1261" o:spt="75" type="#_x0000_t75" style="height:19.9pt;width:16.1pt;" o:ole="t" filled="f" o:preferrelative="t" stroked="f" coordsize="21600,21600">
                  <v:path/>
                  <v:fill on="f" focussize="0,0"/>
                  <v:stroke on="f" joinstyle="miter"/>
                  <v:imagedata r:id="rId472" embosscolor="#FFFFFF" o:title=""/>
                  <o:lock v:ext="edit" aspectratio="t"/>
                  <w10:wrap type="none"/>
                  <w10:anchorlock/>
                </v:shape>
                <o:OLEObject Type="Embed" ProgID="Equation.DSMT4" ShapeID="_x0000_i1261" DrawAspect="Content" ObjectID="_1468075959" r:id="rId471">
                  <o:LockedField>false</o:LockedField>
                </o:OLEObject>
              </w:object>
            </w:r>
            <w:r>
              <w:t>——</w:t>
            </w:r>
          </w:p>
        </w:tc>
        <w:tc>
          <w:tcPr>
            <w:tcW w:w="6513" w:type="dxa"/>
          </w:tcPr>
          <w:p w14:paraId="3F3A0379">
            <w:pPr>
              <w:pStyle w:val="55"/>
              <w:spacing w:before="31" w:after="31"/>
            </w:pPr>
            <w:r>
              <w:t>等效弯曲强度（N/mm</w:t>
            </w:r>
            <w:r>
              <w:rPr>
                <w:vertAlign w:val="superscript"/>
              </w:rPr>
              <w:t>2</w:t>
            </w:r>
            <w:r>
              <w:t>），精确至0.1 N/mm</w:t>
            </w:r>
            <w:r>
              <w:rPr>
                <w:vertAlign w:val="superscript"/>
              </w:rPr>
              <w:t>2</w:t>
            </w:r>
            <w:r>
              <w:t>；</w:t>
            </w:r>
          </w:p>
        </w:tc>
      </w:tr>
      <w:tr w14:paraId="166A8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413" w:type="dxa"/>
          </w:tcPr>
          <w:p w14:paraId="4335BC02">
            <w:pPr>
              <w:pStyle w:val="55"/>
              <w:spacing w:before="31" w:after="31"/>
            </w:pPr>
            <w:r>
              <w:rPr>
                <w:position w:val="-12"/>
              </w:rPr>
              <w:object>
                <v:shape id="_x0000_i1262" o:spt="75" type="#_x0000_t75" style="height:16.65pt;width:16.65pt;" o:ole="t" filled="f" o:preferrelative="t" stroked="f" coordsize="21600,21600">
                  <v:path/>
                  <v:fill on="f" focussize="0,0"/>
                  <v:stroke on="f" joinstyle="miter"/>
                  <v:imagedata r:id="rId474" embosscolor="#FFFFFF" o:title=""/>
                  <o:lock v:ext="edit" aspectratio="t"/>
                  <w10:wrap type="none"/>
                  <w10:anchorlock/>
                </v:shape>
                <o:OLEObject Type="Embed" ProgID="Equation.DSMT4" ShapeID="_x0000_i1262" DrawAspect="Content" ObjectID="_1468075960" r:id="rId473">
                  <o:LockedField>false</o:LockedField>
                </o:OLEObject>
              </w:object>
            </w:r>
            <w:r>
              <w:t>——</w:t>
            </w:r>
          </w:p>
        </w:tc>
        <w:tc>
          <w:tcPr>
            <w:tcW w:w="6513" w:type="dxa"/>
          </w:tcPr>
          <w:p w14:paraId="7F7A6B12">
            <w:pPr>
              <w:pStyle w:val="55"/>
              <w:spacing w:before="31" w:after="31"/>
            </w:pPr>
            <w:r>
              <w:t>跨中挠度为</w:t>
            </w:r>
            <w:r>
              <w:rPr>
                <w:position w:val="-12"/>
              </w:rPr>
              <w:object>
                <v:shape id="_x0000_i1263" o:spt="75" type="#_x0000_t75" style="height:15.05pt;width:15.05pt;" o:ole="t" filled="f" o:preferrelative="t" stroked="f" coordsize="21600,21600">
                  <v:path/>
                  <v:fill on="f" focussize="0,0"/>
                  <v:stroke on="f" joinstyle="miter"/>
                  <v:imagedata r:id="rId476" embosscolor="#FFFFFF" o:title=""/>
                  <o:lock v:ext="edit" aspectratio="t"/>
                  <w10:wrap type="none"/>
                  <w10:anchorlock/>
                </v:shape>
                <o:OLEObject Type="Embed" ProgID="Equation.DSMT4" ShapeID="_x0000_i1263" DrawAspect="Content" ObjectID="_1468075961" r:id="rId475">
                  <o:LockedField>false</o:LockedField>
                </o:OLEObject>
              </w:object>
            </w:r>
            <w:r>
              <w:t>时荷载-挠度曲线下的面积（N</w:t>
            </w:r>
            <w:r>
              <w:rPr/>
              <w:sym w:font="Wingdings" w:char="F09E"/>
            </w:r>
            <w:r>
              <w:t>mm）</w:t>
            </w:r>
            <w:r>
              <w:rPr>
                <w:rFonts w:hint="eastAsia"/>
              </w:rPr>
              <w:t>，见</w:t>
            </w:r>
            <w:r>
              <w:t>图A.0.4</w:t>
            </w:r>
            <w:r>
              <w:rPr>
                <w:rFonts w:hint="eastAsia"/>
              </w:rPr>
              <w:t>所示</w:t>
            </w:r>
            <w:r>
              <w:t>；</w:t>
            </w:r>
          </w:p>
        </w:tc>
      </w:tr>
      <w:tr w14:paraId="6FBCE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413" w:type="dxa"/>
          </w:tcPr>
          <w:p w14:paraId="0F3B30CF">
            <w:pPr>
              <w:pStyle w:val="55"/>
              <w:spacing w:before="31" w:after="31"/>
            </w:pPr>
            <w:r>
              <w:rPr>
                <w:position w:val="-12"/>
              </w:rPr>
              <w:object>
                <v:shape id="_x0000_i1264" o:spt="75" type="#_x0000_t75" style="height:15.05pt;width:15.05pt;" o:ole="t" filled="f" o:preferrelative="t" stroked="f" coordsize="21600,21600">
                  <v:path/>
                  <v:fill on="f" focussize="0,0"/>
                  <v:stroke on="f" joinstyle="miter"/>
                  <v:imagedata r:id="rId478" embosscolor="#FFFFFF" o:title=""/>
                  <o:lock v:ext="edit" aspectratio="t"/>
                  <w10:wrap type="none"/>
                  <w10:anchorlock/>
                </v:shape>
                <o:OLEObject Type="Embed" ProgID="Equation.DSMT4" ShapeID="_x0000_i1264" DrawAspect="Content" ObjectID="_1468075962" r:id="rId477">
                  <o:LockedField>false</o:LockedField>
                </o:OLEObject>
              </w:object>
            </w:r>
            <w:r>
              <w:t>——</w:t>
            </w:r>
          </w:p>
        </w:tc>
        <w:tc>
          <w:tcPr>
            <w:tcW w:w="6513" w:type="dxa"/>
          </w:tcPr>
          <w:p w14:paraId="6CCC2BE5">
            <w:pPr>
              <w:pStyle w:val="55"/>
              <w:spacing w:before="31" w:after="31"/>
            </w:pPr>
            <w:r>
              <w:t>荷载下降至峰值荷载的</w:t>
            </w:r>
            <w:r>
              <w:rPr>
                <w:i/>
              </w:rPr>
              <w:t>u</w:t>
            </w:r>
            <w:r>
              <w:t>倍时对应的挠度值（mm）。用于高延性混凝土力学性能指标测定时，</w:t>
            </w:r>
            <w:r>
              <w:rPr>
                <w:i/>
              </w:rPr>
              <w:t>u</w:t>
            </w:r>
            <w:r>
              <w:t>取0.85；</w:t>
            </w:r>
          </w:p>
        </w:tc>
      </w:tr>
      <w:tr w14:paraId="46CC9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413" w:type="dxa"/>
          </w:tcPr>
          <w:p w14:paraId="3C0EFF14">
            <w:pPr>
              <w:pStyle w:val="55"/>
              <w:spacing w:before="31" w:after="31"/>
            </w:pPr>
            <w:r>
              <w:rPr>
                <w:i/>
              </w:rPr>
              <w:t>b</w:t>
            </w:r>
            <w:r>
              <w:t>、</w:t>
            </w:r>
            <w:r>
              <w:rPr>
                <w:i/>
              </w:rPr>
              <w:t>h</w:t>
            </w:r>
            <w:r>
              <w:t>——</w:t>
            </w:r>
          </w:p>
        </w:tc>
        <w:tc>
          <w:tcPr>
            <w:tcW w:w="6513" w:type="dxa"/>
          </w:tcPr>
          <w:p w14:paraId="265C87A5">
            <w:pPr>
              <w:pStyle w:val="55"/>
              <w:spacing w:before="31" w:after="31"/>
            </w:pPr>
            <w:r>
              <w:t>试件的截面宽度和高度（mm）；</w:t>
            </w:r>
          </w:p>
        </w:tc>
      </w:tr>
      <w:tr w14:paraId="3D660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413" w:type="dxa"/>
          </w:tcPr>
          <w:p w14:paraId="3192A03D">
            <w:pPr>
              <w:pStyle w:val="55"/>
              <w:spacing w:before="31" w:after="31"/>
              <w:rPr>
                <w:i/>
              </w:rPr>
            </w:pPr>
            <w:r>
              <w:rPr>
                <w:i/>
              </w:rPr>
              <w:t>L</w:t>
            </w:r>
            <w:r>
              <w:t>——</w:t>
            </w:r>
          </w:p>
        </w:tc>
        <w:tc>
          <w:tcPr>
            <w:tcW w:w="6513" w:type="dxa"/>
          </w:tcPr>
          <w:p w14:paraId="6119FF5A">
            <w:pPr>
              <w:pStyle w:val="55"/>
              <w:spacing w:before="31" w:after="31"/>
            </w:pPr>
            <w:r>
              <w:t>试件的跨度（mm）。</w:t>
            </w:r>
          </w:p>
        </w:tc>
      </w:tr>
    </w:tbl>
    <w:p w14:paraId="0EFCED99">
      <w:pPr>
        <w:spacing w:after="156" w:line="312" w:lineRule="auto"/>
        <w:ind w:firstLine="560"/>
        <w:rPr>
          <w:rFonts w:cs="Times New Roman"/>
          <w:sz w:val="28"/>
          <w:szCs w:val="28"/>
        </w:rPr>
      </w:pPr>
    </w:p>
    <w:p w14:paraId="1833AEAC">
      <w:pPr>
        <w:spacing w:after="156"/>
        <w:ind w:firstLine="560"/>
        <w:jc w:val="center"/>
        <w:rPr>
          <w:rFonts w:cs="Times New Roman"/>
          <w:sz w:val="28"/>
          <w:szCs w:val="28"/>
        </w:rPr>
      </w:pPr>
      <w:r>
        <w:rPr>
          <w:rFonts w:cs="Times New Roman"/>
          <w:sz w:val="28"/>
          <w:szCs w:val="28"/>
        </w:rPr>
        <w:drawing>
          <wp:inline distT="0" distB="0" distL="114300" distR="114300">
            <wp:extent cx="2633980" cy="2001520"/>
            <wp:effectExtent l="0" t="0" r="2540" b="0"/>
            <wp:docPr id="16"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7"/>
                    <pic:cNvPicPr>
                      <a:picLocks noChangeAspect="1"/>
                    </pic:cNvPicPr>
                  </pic:nvPicPr>
                  <pic:blipFill>
                    <a:blip r:embed="rId479"/>
                    <a:stretch>
                      <a:fillRect/>
                    </a:stretch>
                  </pic:blipFill>
                  <pic:spPr>
                    <a:xfrm>
                      <a:off x="0" y="0"/>
                      <a:ext cx="2633980" cy="2001520"/>
                    </a:xfrm>
                    <a:prstGeom prst="rect">
                      <a:avLst/>
                    </a:prstGeom>
                    <a:noFill/>
                    <a:ln>
                      <a:noFill/>
                    </a:ln>
                  </pic:spPr>
                </pic:pic>
              </a:graphicData>
            </a:graphic>
          </wp:inline>
        </w:drawing>
      </w:r>
    </w:p>
    <w:p w14:paraId="11C0B6C8">
      <w:pPr>
        <w:spacing w:before="156" w:beforeLines="50" w:after="312" w:line="312" w:lineRule="auto"/>
        <w:ind w:firstLine="420"/>
        <w:jc w:val="center"/>
        <w:rPr>
          <w:rFonts w:eastAsia="黑体" w:cs="Times New Roman"/>
          <w:szCs w:val="21"/>
        </w:rPr>
      </w:pPr>
      <w:r>
        <w:rPr>
          <w:rFonts w:eastAsia="黑体" w:cs="Times New Roman"/>
          <w:szCs w:val="21"/>
        </w:rPr>
        <w:t>图A.0.4 等效弯曲强度计算</w:t>
      </w:r>
    </w:p>
    <w:p w14:paraId="2930D646">
      <w:pPr>
        <w:pStyle w:val="4"/>
      </w:pPr>
      <w:r>
        <w:rPr>
          <w:b/>
        </w:rPr>
        <w:t>A.0.6</w:t>
      </w:r>
      <w:r>
        <w:t xml:space="preserve">  试件的等效弯曲韧性</w:t>
      </w:r>
      <w:r>
        <w:rPr>
          <w:rFonts w:hint="eastAsia"/>
        </w:rPr>
        <w:t>应</w:t>
      </w:r>
      <w:r>
        <w:t>按下式计算：</w:t>
      </w:r>
    </w:p>
    <w:p w14:paraId="5198F712">
      <w:pPr>
        <w:wordWrap w:val="0"/>
        <w:spacing w:after="312"/>
        <w:ind w:firstLine="560"/>
        <w:jc w:val="right"/>
        <w:rPr>
          <w:rFonts w:cs="Times New Roman"/>
          <w:sz w:val="28"/>
          <w:szCs w:val="28"/>
        </w:rPr>
      </w:pPr>
      <w:bookmarkStart w:id="834" w:name="_Toc7976249"/>
      <w:bookmarkStart w:id="835" w:name="_Toc515893936"/>
      <w:bookmarkStart w:id="836" w:name="_Toc436908208"/>
      <w:bookmarkStart w:id="837" w:name="_Toc18600626"/>
      <w:bookmarkStart w:id="838" w:name="_Toc535475942"/>
      <w:bookmarkStart w:id="839" w:name="_Toc534633676"/>
      <w:bookmarkStart w:id="840" w:name="_Toc504569992"/>
      <w:bookmarkStart w:id="841" w:name="_Toc532461023"/>
      <w:bookmarkStart w:id="842" w:name="_Toc439188407"/>
      <w:bookmarkStart w:id="843" w:name="_Toc17131339"/>
      <w:bookmarkStart w:id="844" w:name="_Toc445666224"/>
      <w:bookmarkStart w:id="845" w:name="_Toc17276379"/>
      <w:bookmarkStart w:id="846" w:name="_Toc17131097"/>
      <w:bookmarkStart w:id="847" w:name="_Toc519684082"/>
      <w:bookmarkStart w:id="848" w:name="_Toc532464300"/>
      <w:bookmarkStart w:id="849" w:name="_Toc535338390"/>
      <w:bookmarkStart w:id="850" w:name="_Toc445666167"/>
      <w:bookmarkStart w:id="851" w:name="_Toc519683899"/>
      <w:bookmarkStart w:id="852" w:name="_Toc445664203"/>
      <w:bookmarkStart w:id="853" w:name="_Toc9927820"/>
      <w:bookmarkStart w:id="854" w:name="_Toc445665803"/>
      <w:bookmarkStart w:id="855" w:name="_Toc17276588"/>
      <w:bookmarkStart w:id="856" w:name="_Toc450148291"/>
      <w:bookmarkStart w:id="857" w:name="_Toc17278125"/>
      <w:bookmarkStart w:id="858" w:name="_Toc439188280"/>
      <w:bookmarkStart w:id="859" w:name="_Toc515087731"/>
      <w:bookmarkStart w:id="860" w:name="_Toc18602342"/>
      <w:r>
        <w:rPr>
          <w:rFonts w:cs="Times New Roman"/>
          <w:position w:val="-22"/>
          <w:sz w:val="28"/>
          <w:szCs w:val="28"/>
        </w:rPr>
        <w:object>
          <v:shape id="_x0000_i1265" o:spt="75" type="#_x0000_t75" style="height:30.65pt;width:46.75pt;" o:ole="t" filled="f" o:preferrelative="t" stroked="f" coordsize="21600,21600">
            <v:path/>
            <v:fill on="f" focussize="0,0"/>
            <v:stroke on="f" joinstyle="miter"/>
            <v:imagedata r:id="rId481" o:title=""/>
            <o:lock v:ext="edit" aspectratio="t"/>
            <w10:wrap type="none"/>
            <w10:anchorlock/>
          </v:shape>
          <o:OLEObject Type="Embed" ProgID="Equation.DSMT4" ShapeID="_x0000_i1265" DrawAspect="Content" ObjectID="_1468075963" r:id="rId480">
            <o:LockedField>false</o:LockedField>
          </o:OLEObject>
        </w:object>
      </w:r>
      <w:r>
        <w:rPr>
          <w:rFonts w:cs="Times New Roman"/>
          <w:sz w:val="28"/>
          <w:szCs w:val="28"/>
        </w:rPr>
        <w:t xml:space="preserve">        </w:t>
      </w:r>
      <w:r>
        <w:rPr>
          <w:rFonts w:hint="eastAsia" w:cs="Times New Roman"/>
          <w:sz w:val="28"/>
          <w:szCs w:val="28"/>
        </w:rPr>
        <w:t xml:space="preserve">   </w:t>
      </w:r>
      <w:r>
        <w:rPr>
          <w:rFonts w:cs="Times New Roman"/>
          <w:sz w:val="28"/>
          <w:szCs w:val="28"/>
        </w:rPr>
        <w:t xml:space="preserve">       （A.0.</w:t>
      </w:r>
      <w:r>
        <w:rPr>
          <w:rFonts w:hint="eastAsia" w:cs="Times New Roman"/>
          <w:sz w:val="28"/>
          <w:szCs w:val="28"/>
        </w:rPr>
        <w:t>5</w:t>
      </w:r>
      <w:r>
        <w:rPr>
          <w:rFonts w:cs="Times New Roman"/>
          <w:sz w:val="28"/>
          <w:szCs w:val="28"/>
        </w:rPr>
        <w:t>）</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8"/>
        <w:gridCol w:w="6508"/>
      </w:tblGrid>
      <w:tr w14:paraId="19854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8" w:type="dxa"/>
          </w:tcPr>
          <w:p w14:paraId="744B5DDB">
            <w:pPr>
              <w:pStyle w:val="55"/>
              <w:spacing w:before="31" w:after="31"/>
            </w:pPr>
            <w:r>
              <w:t>式中：</w:t>
            </w:r>
          </w:p>
        </w:tc>
        <w:tc>
          <w:tcPr>
            <w:tcW w:w="6508" w:type="dxa"/>
          </w:tcPr>
          <w:p w14:paraId="0A5C7F1E">
            <w:pPr>
              <w:pStyle w:val="55"/>
              <w:spacing w:before="31" w:after="31"/>
            </w:pPr>
          </w:p>
        </w:tc>
      </w:tr>
      <w:tr w14:paraId="52D54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8" w:type="dxa"/>
          </w:tcPr>
          <w:p w14:paraId="29D02511">
            <w:pPr>
              <w:pStyle w:val="55"/>
              <w:spacing w:before="31" w:after="31"/>
            </w:pPr>
            <w:r>
              <w:rPr>
                <w:position w:val="-12"/>
              </w:rPr>
              <w:object>
                <v:shape id="_x0000_i1266" o:spt="75" type="#_x0000_t75" style="height:19.35pt;width:19.35pt;" o:ole="t" filled="f" o:preferrelative="t" stroked="f" coordsize="21600,21600">
                  <v:path/>
                  <v:fill on="f" focussize="0,0"/>
                  <v:stroke on="f" joinstyle="miter"/>
                  <v:imagedata r:id="rId483" o:title=""/>
                  <o:lock v:ext="edit" aspectratio="t"/>
                  <w10:wrap type="none"/>
                  <w10:anchorlock/>
                </v:shape>
                <o:OLEObject Type="Embed" ProgID="Equation.3" ShapeID="_x0000_i1266" DrawAspect="Content" ObjectID="_1468075964" r:id="rId482">
                  <o:LockedField>false</o:LockedField>
                </o:OLEObject>
              </w:object>
            </w:r>
            <w:r>
              <w:t>——</w:t>
            </w:r>
          </w:p>
        </w:tc>
        <w:tc>
          <w:tcPr>
            <w:tcW w:w="6508" w:type="dxa"/>
          </w:tcPr>
          <w:p w14:paraId="312AD25F">
            <w:pPr>
              <w:pStyle w:val="55"/>
              <w:spacing w:before="31" w:after="31"/>
            </w:pPr>
            <w:r>
              <w:t>等效弯曲韧性（×10</w:t>
            </w:r>
            <w:r>
              <w:rPr>
                <w:vertAlign w:val="superscript"/>
              </w:rPr>
              <w:t>3</w:t>
            </w:r>
            <w:r>
              <w:t>kJ/m</w:t>
            </w:r>
            <w:r>
              <w:rPr>
                <w:vertAlign w:val="superscript"/>
              </w:rPr>
              <w:t>3</w:t>
            </w:r>
            <w:r>
              <w:t>），精确至0.1kJ/m</w:t>
            </w:r>
            <w:r>
              <w:rPr>
                <w:vertAlign w:val="superscript"/>
              </w:rPr>
              <w:t>3</w:t>
            </w:r>
            <w:r>
              <w:t>。</w:t>
            </w:r>
          </w:p>
        </w:tc>
      </w:tr>
      <w:bookmarkEnd w:id="805"/>
      <w:bookmarkEnd w:id="806"/>
    </w:tbl>
    <w:p w14:paraId="5C23ADCB">
      <w:pPr>
        <w:pStyle w:val="4"/>
      </w:pPr>
      <w:r>
        <w:rPr>
          <w:b/>
        </w:rPr>
        <w:t>A.0.</w:t>
      </w:r>
      <w:r>
        <w:rPr>
          <w:rFonts w:hint="eastAsia"/>
          <w:b/>
        </w:rPr>
        <w:t>6</w:t>
      </w:r>
      <w:r>
        <w:t xml:space="preserve">  等效弯曲强度和等效弯曲韧性测试以3个试件为一组，以3个试件测试值的算术平均值作为每组试件的测试结果代表值。</w:t>
      </w:r>
    </w:p>
    <w:p w14:paraId="5FCF221B">
      <w:pPr>
        <w:spacing w:after="156" w:line="450" w:lineRule="exact"/>
        <w:ind w:firstLine="360"/>
        <w:jc w:val="center"/>
        <w:rPr>
          <w:rFonts w:eastAsia="黑体"/>
          <w:sz w:val="18"/>
        </w:rPr>
      </w:pPr>
      <w:r>
        <w:rPr>
          <w:rFonts w:eastAsia="黑体"/>
          <w:sz w:val="18"/>
        </w:rPr>
        <w:br w:type="page"/>
      </w:r>
      <w:bookmarkStart w:id="861" w:name="_Toc71402588"/>
      <w:bookmarkStart w:id="862" w:name="_Toc16037"/>
      <w:bookmarkStart w:id="863" w:name="_Toc79615820"/>
      <w:bookmarkStart w:id="864" w:name="_Toc71402358"/>
      <w:bookmarkStart w:id="865" w:name="_Toc22297"/>
      <w:bookmarkStart w:id="866" w:name="_Toc2813"/>
    </w:p>
    <w:bookmarkEnd w:id="861"/>
    <w:bookmarkEnd w:id="862"/>
    <w:bookmarkEnd w:id="863"/>
    <w:bookmarkEnd w:id="864"/>
    <w:bookmarkEnd w:id="865"/>
    <w:bookmarkEnd w:id="866"/>
    <w:p w14:paraId="5ABDC6C1">
      <w:pPr>
        <w:pStyle w:val="2"/>
        <w:spacing w:after="312"/>
        <w:rPr>
          <w:snapToGrid w:val="0"/>
        </w:rPr>
      </w:pPr>
      <w:bookmarkStart w:id="867" w:name="_Toc207111737"/>
      <w:r>
        <w:rPr>
          <w:rFonts w:hint="eastAsia"/>
          <w:snapToGrid w:val="0"/>
        </w:rPr>
        <w:t>附录B  高延性混凝土抗折强度试验方法</w:t>
      </w:r>
      <w:bookmarkEnd w:id="867"/>
    </w:p>
    <w:p w14:paraId="3D7EB514">
      <w:pPr>
        <w:pStyle w:val="4"/>
      </w:pPr>
      <w:r>
        <w:rPr>
          <w:b/>
        </w:rPr>
        <w:t>B.0.1</w:t>
      </w:r>
      <w:r>
        <w:t xml:space="preserve">  本试验方法适用于高延性混凝土抗折强度的测定。</w:t>
      </w:r>
    </w:p>
    <w:p w14:paraId="40F5875F">
      <w:pPr>
        <w:pStyle w:val="4"/>
      </w:pPr>
      <w:r>
        <w:rPr>
          <w:b/>
        </w:rPr>
        <w:t>B.0.2</w:t>
      </w:r>
      <w:r>
        <w:t xml:space="preserve">  试验装置（图B.0.2）应符合下列规定：</w:t>
      </w:r>
    </w:p>
    <w:p w14:paraId="26572FD0">
      <w:pPr>
        <w:ind w:firstLine="420"/>
        <w:jc w:val="center"/>
        <w:rPr>
          <w:rFonts w:cs="Times New Roman"/>
        </w:rPr>
      </w:pPr>
      <w:r>
        <w:rPr>
          <w:rFonts w:cs="Times New Roman"/>
        </w:rPr>
        <w:drawing>
          <wp:inline distT="0" distB="0" distL="0" distR="0">
            <wp:extent cx="2275205" cy="2126615"/>
            <wp:effectExtent l="0" t="0" r="0" b="6985"/>
            <wp:docPr id="23879818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98187" name="图片 5"/>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a:xfrm>
                      <a:off x="0" y="0"/>
                      <a:ext cx="2275205" cy="2126615"/>
                    </a:xfrm>
                    <a:prstGeom prst="rect">
                      <a:avLst/>
                    </a:prstGeom>
                    <a:noFill/>
                    <a:ln>
                      <a:noFill/>
                    </a:ln>
                  </pic:spPr>
                </pic:pic>
              </a:graphicData>
            </a:graphic>
          </wp:inline>
        </w:drawing>
      </w:r>
    </w:p>
    <w:p w14:paraId="79D21267">
      <w:pPr>
        <w:spacing w:line="312" w:lineRule="auto"/>
        <w:ind w:firstLine="360"/>
        <w:jc w:val="center"/>
        <w:rPr>
          <w:rFonts w:cs="Times New Roman"/>
          <w:sz w:val="18"/>
          <w:szCs w:val="21"/>
        </w:rPr>
      </w:pPr>
    </w:p>
    <w:p w14:paraId="0B190370">
      <w:pPr>
        <w:pStyle w:val="55"/>
        <w:spacing w:before="31" w:after="31"/>
        <w:rPr>
          <w:rFonts w:cs="Times New Roman"/>
        </w:rPr>
      </w:pPr>
      <w:r>
        <w:rPr>
          <w:rFonts w:cs="Times New Roman"/>
        </w:rPr>
        <w:t>1——加载头；2——加载头辊轴；3——试件；4——支座；5——支座辊轴；</w:t>
      </w:r>
    </w:p>
    <w:p w14:paraId="59A5A9A4">
      <w:pPr>
        <w:pStyle w:val="56"/>
        <w:rPr>
          <w:rFonts w:cs="Times New Roman"/>
        </w:rPr>
      </w:pPr>
      <w:r>
        <w:rPr>
          <w:rFonts w:cs="Times New Roman"/>
        </w:rPr>
        <w:t>图B.0.2 抗弯试验加载装置</w:t>
      </w:r>
    </w:p>
    <w:p w14:paraId="4369DD22">
      <w:pPr>
        <w:ind w:firstLine="422"/>
        <w:rPr>
          <w:rFonts w:cs="Times New Roman"/>
        </w:rPr>
      </w:pPr>
      <w:r>
        <w:rPr>
          <w:rFonts w:eastAsia="黑体" w:cs="Times New Roman"/>
          <w:b/>
        </w:rPr>
        <w:t xml:space="preserve">1  </w:t>
      </w:r>
      <w:r>
        <w:rPr>
          <w:rFonts w:cs="Times New Roman"/>
        </w:rPr>
        <w:t>试验机宜采用液压伺服万能试验机，示值相对误差不大于1.0%，试验时的最大荷载宜在量程的20%~80%。</w:t>
      </w:r>
    </w:p>
    <w:p w14:paraId="4F55320C">
      <w:pPr>
        <w:ind w:firstLine="422"/>
        <w:rPr>
          <w:rFonts w:cs="Times New Roman"/>
        </w:rPr>
      </w:pPr>
      <w:r>
        <w:rPr>
          <w:rFonts w:eastAsia="黑体" w:cs="Times New Roman"/>
          <w:b/>
        </w:rPr>
        <w:t xml:space="preserve">2  </w:t>
      </w:r>
      <w:r>
        <w:rPr>
          <w:rFonts w:cs="Times New Roman"/>
        </w:rPr>
        <w:t>加载头辊轴直径10mm~12mm。</w:t>
      </w:r>
    </w:p>
    <w:p w14:paraId="126DE841">
      <w:pPr>
        <w:ind w:firstLine="422"/>
        <w:rPr>
          <w:rFonts w:cs="Times New Roman"/>
        </w:rPr>
      </w:pPr>
      <w:r>
        <w:rPr>
          <w:rFonts w:eastAsia="黑体" w:cs="Times New Roman"/>
          <w:b/>
        </w:rPr>
        <w:t xml:space="preserve">3  </w:t>
      </w:r>
      <w:r>
        <w:rPr>
          <w:rFonts w:cs="Times New Roman"/>
        </w:rPr>
        <w:t>与试件接触的两个辊轴铰支座，辊轴弧形直径10</w:t>
      </w:r>
      <w:r>
        <w:rPr>
          <w:rFonts w:cs="Times New Roman"/>
          <w:w w:val="50"/>
        </w:rPr>
        <w:t xml:space="preserve"> </w:t>
      </w:r>
      <w:r>
        <w:rPr>
          <w:rFonts w:cs="Times New Roman"/>
        </w:rPr>
        <w:t>mm~12</w:t>
      </w:r>
      <w:r>
        <w:rPr>
          <w:rFonts w:cs="Times New Roman"/>
          <w:w w:val="50"/>
        </w:rPr>
        <w:t xml:space="preserve"> </w:t>
      </w:r>
      <w:r>
        <w:rPr>
          <w:rFonts w:cs="Times New Roman"/>
        </w:rPr>
        <w:t>mm，支座长度比试件宽度长10</w:t>
      </w:r>
      <w:r>
        <w:rPr>
          <w:rFonts w:cs="Times New Roman"/>
          <w:w w:val="50"/>
        </w:rPr>
        <w:t xml:space="preserve"> </w:t>
      </w:r>
      <w:r>
        <w:rPr>
          <w:rFonts w:cs="Times New Roman"/>
        </w:rPr>
        <w:t>mm。</w:t>
      </w:r>
    </w:p>
    <w:p w14:paraId="1D73BCB0">
      <w:pPr>
        <w:ind w:firstLine="422"/>
        <w:rPr>
          <w:rFonts w:cs="Times New Roman"/>
        </w:rPr>
      </w:pPr>
      <w:r>
        <w:rPr>
          <w:rFonts w:eastAsia="黑体" w:cs="Times New Roman"/>
          <w:b/>
        </w:rPr>
        <w:t xml:space="preserve">4  </w:t>
      </w:r>
      <w:r>
        <w:rPr>
          <w:rFonts w:cs="Times New Roman"/>
        </w:rPr>
        <w:t>荷载测量传感器应准确测量施加于试件上的荷载，测量精度不应低于0.1</w:t>
      </w:r>
      <w:r>
        <w:rPr>
          <w:rFonts w:cs="Times New Roman"/>
          <w:w w:val="50"/>
        </w:rPr>
        <w:t xml:space="preserve"> </w:t>
      </w:r>
      <w:r>
        <w:rPr>
          <w:rFonts w:cs="Times New Roman"/>
        </w:rPr>
        <w:t>kN。</w:t>
      </w:r>
    </w:p>
    <w:p w14:paraId="7C1A72D1">
      <w:pPr>
        <w:ind w:firstLine="422"/>
        <w:rPr>
          <w:rFonts w:cs="Times New Roman"/>
        </w:rPr>
      </w:pPr>
      <w:r>
        <w:rPr>
          <w:rFonts w:eastAsia="黑体" w:cs="Times New Roman"/>
          <w:b/>
        </w:rPr>
        <w:t xml:space="preserve">5  </w:t>
      </w:r>
      <w:r>
        <w:rPr>
          <w:rFonts w:cs="Times New Roman"/>
        </w:rPr>
        <w:t>测试数据采集应连续自动完成，可通过模数转换器与计算机连接，有程序控制，采样频率不宜低于10</w:t>
      </w:r>
      <w:r>
        <w:rPr>
          <w:rFonts w:cs="Times New Roman"/>
          <w:w w:val="50"/>
        </w:rPr>
        <w:t xml:space="preserve"> </w:t>
      </w:r>
      <w:r>
        <w:rPr>
          <w:rFonts w:cs="Times New Roman"/>
        </w:rPr>
        <w:t>Hz。</w:t>
      </w:r>
    </w:p>
    <w:p w14:paraId="1DB3B5B0">
      <w:pPr>
        <w:ind w:firstLine="422"/>
        <w:rPr>
          <w:rFonts w:cs="Times New Roman"/>
        </w:rPr>
      </w:pPr>
      <w:r>
        <w:rPr>
          <w:rFonts w:eastAsia="黑体" w:cs="Times New Roman"/>
          <w:b/>
        </w:rPr>
        <w:t xml:space="preserve">6  </w:t>
      </w:r>
      <w:r>
        <w:rPr>
          <w:rFonts w:cs="Times New Roman"/>
        </w:rPr>
        <w:t>其他：钢直尺、游标卡尺、直角规等。</w:t>
      </w:r>
    </w:p>
    <w:p w14:paraId="124DDADC">
      <w:pPr>
        <w:pStyle w:val="4"/>
      </w:pPr>
      <w:r>
        <w:t xml:space="preserve">B.0.3  </w:t>
      </w:r>
      <w:r>
        <w:rPr>
          <w:kern w:val="0"/>
        </w:rPr>
        <w:t>试件成型及养护方法</w:t>
      </w:r>
      <w:r>
        <w:t>同</w:t>
      </w:r>
      <w:r>
        <w:rPr>
          <w:kern w:val="0"/>
        </w:rPr>
        <w:t xml:space="preserve">《混凝土物理力学性能试验方法标准》GB/T </w:t>
      </w:r>
      <w:r>
        <w:t>50081的有关规定。每组试验至少应制备3个试件。</w:t>
      </w:r>
    </w:p>
    <w:p w14:paraId="4FD1ED0F">
      <w:pPr>
        <w:pStyle w:val="4"/>
      </w:pPr>
      <w:r>
        <w:rPr>
          <w:b/>
        </w:rPr>
        <w:t>B.0.4</w:t>
      </w:r>
      <w:r>
        <w:t xml:space="preserve">  标准试件尺寸为40</w:t>
      </w:r>
      <w:r>
        <w:rPr>
          <w:w w:val="50"/>
          <w:kern w:val="0"/>
          <w:szCs w:val="20"/>
        </w:rPr>
        <w:t xml:space="preserve"> </w:t>
      </w:r>
      <w:r>
        <w:t>mm×40</w:t>
      </w:r>
      <w:r>
        <w:rPr>
          <w:w w:val="50"/>
          <w:kern w:val="0"/>
          <w:szCs w:val="20"/>
        </w:rPr>
        <w:t xml:space="preserve"> </w:t>
      </w:r>
      <w:r>
        <w:t>mm×160</w:t>
      </w:r>
      <w:r>
        <w:rPr>
          <w:w w:val="50"/>
          <w:kern w:val="0"/>
          <w:szCs w:val="20"/>
        </w:rPr>
        <w:t xml:space="preserve"> </w:t>
      </w:r>
      <w:r>
        <w:t>mm，试验跨度取L=100</w:t>
      </w:r>
      <w:r>
        <w:rPr>
          <w:w w:val="50"/>
          <w:kern w:val="0"/>
          <w:szCs w:val="20"/>
        </w:rPr>
        <w:t xml:space="preserve"> </w:t>
      </w:r>
      <w:r>
        <w:t>mm。</w:t>
      </w:r>
    </w:p>
    <w:p w14:paraId="438028B3">
      <w:pPr>
        <w:pStyle w:val="4"/>
      </w:pPr>
      <w:r>
        <w:t>B.0.5  试验测试应按下列步骤进行：</w:t>
      </w:r>
    </w:p>
    <w:p w14:paraId="26A6231C">
      <w:pPr>
        <w:widowControl/>
        <w:ind w:firstLine="422"/>
        <w:rPr>
          <w:rFonts w:cs="Times New Roman"/>
          <w:kern w:val="0"/>
          <w:szCs w:val="20"/>
        </w:rPr>
      </w:pPr>
      <w:r>
        <w:rPr>
          <w:rFonts w:eastAsia="黑体" w:cs="Times New Roman"/>
          <w:b/>
        </w:rPr>
        <w:t xml:space="preserve">1  </w:t>
      </w:r>
      <w:r>
        <w:rPr>
          <w:rFonts w:cs="Times New Roman"/>
          <w:kern w:val="0"/>
          <w:szCs w:val="20"/>
        </w:rPr>
        <w:t>从养护地点取出试件，擦净后检查外观，试样不得有明显缺损，在两个辊轴铰支座内不得有直径大于5</w:t>
      </w:r>
      <w:r>
        <w:rPr>
          <w:rFonts w:cs="Times New Roman"/>
          <w:w w:val="50"/>
          <w:kern w:val="0"/>
          <w:szCs w:val="20"/>
        </w:rPr>
        <w:t xml:space="preserve"> </w:t>
      </w:r>
      <w:r>
        <w:rPr>
          <w:rFonts w:cs="Times New Roman"/>
          <w:kern w:val="0"/>
          <w:szCs w:val="20"/>
        </w:rPr>
        <w:t>mm、深度大于2</w:t>
      </w:r>
      <w:r>
        <w:rPr>
          <w:rFonts w:cs="Times New Roman"/>
          <w:w w:val="50"/>
          <w:kern w:val="0"/>
          <w:szCs w:val="20"/>
        </w:rPr>
        <w:t xml:space="preserve"> </w:t>
      </w:r>
      <w:r>
        <w:rPr>
          <w:rFonts w:cs="Times New Roman"/>
          <w:kern w:val="0"/>
          <w:szCs w:val="20"/>
        </w:rPr>
        <w:t>mm的表面缺陷。</w:t>
      </w:r>
    </w:p>
    <w:p w14:paraId="4E9DB8F8">
      <w:pPr>
        <w:widowControl/>
        <w:ind w:firstLine="422"/>
        <w:rPr>
          <w:rFonts w:cs="Times New Roman"/>
          <w:kern w:val="0"/>
          <w:szCs w:val="20"/>
        </w:rPr>
      </w:pPr>
      <w:r>
        <w:rPr>
          <w:rFonts w:eastAsia="黑体" w:cs="Times New Roman"/>
          <w:b/>
        </w:rPr>
        <w:t xml:space="preserve">2  </w:t>
      </w:r>
      <w:r>
        <w:rPr>
          <w:rFonts w:cs="Times New Roman"/>
          <w:kern w:val="0"/>
          <w:szCs w:val="20"/>
        </w:rPr>
        <w:t>将试件成型时的浇筑侧面作为承荷面，安放在支座上。按图B.1规定尺寸，检查支座及加载头位置，所有间距尺寸偏差不应大于±1</w:t>
      </w:r>
      <w:r>
        <w:rPr>
          <w:rFonts w:cs="Times New Roman"/>
          <w:w w:val="50"/>
          <w:kern w:val="0"/>
          <w:szCs w:val="20"/>
        </w:rPr>
        <w:t xml:space="preserve"> </w:t>
      </w:r>
      <w:r>
        <w:rPr>
          <w:rFonts w:cs="Times New Roman"/>
          <w:kern w:val="0"/>
          <w:szCs w:val="20"/>
        </w:rPr>
        <w:t>mm。</w:t>
      </w:r>
    </w:p>
    <w:p w14:paraId="13CDED18">
      <w:pPr>
        <w:widowControl/>
        <w:ind w:firstLine="422"/>
        <w:rPr>
          <w:rFonts w:cs="Times New Roman"/>
          <w:kern w:val="0"/>
          <w:szCs w:val="20"/>
        </w:rPr>
      </w:pPr>
      <w:r>
        <w:rPr>
          <w:rFonts w:eastAsia="黑体" w:cs="Times New Roman"/>
          <w:b/>
        </w:rPr>
        <w:t xml:space="preserve">3  </w:t>
      </w:r>
      <w:r>
        <w:rPr>
          <w:rFonts w:cs="Times New Roman"/>
          <w:kern w:val="0"/>
          <w:szCs w:val="20"/>
        </w:rPr>
        <w:t>试件放稳对中后启动试验机，当加载头辊轴与试件接近时，调整加载头和支座，使接触均衡。加载头及支座不能前后倾斜，各接触不良处应予以垫平。</w:t>
      </w:r>
    </w:p>
    <w:p w14:paraId="5E0D73E1">
      <w:pPr>
        <w:widowControl/>
        <w:ind w:firstLine="422"/>
        <w:rPr>
          <w:rFonts w:cs="Times New Roman"/>
          <w:kern w:val="0"/>
          <w:szCs w:val="20"/>
        </w:rPr>
      </w:pPr>
      <w:r>
        <w:rPr>
          <w:rFonts w:eastAsia="黑体" w:cs="Times New Roman"/>
          <w:b/>
        </w:rPr>
        <w:t xml:space="preserve">4  </w:t>
      </w:r>
      <w:r>
        <w:rPr>
          <w:rFonts w:cs="Times New Roman"/>
          <w:kern w:val="0"/>
          <w:szCs w:val="20"/>
        </w:rPr>
        <w:t>对试件按力控制加荷，加载应连续、均匀，加载速率取50N/s±10N/s，</w:t>
      </w:r>
      <w:r>
        <w:rPr>
          <w:rFonts w:cs="Times New Roman"/>
          <w:szCs w:val="21"/>
        </w:rPr>
        <w:t>荷载下降至峰值荷载的0.2倍时，停止加载</w:t>
      </w:r>
      <w:r>
        <w:rPr>
          <w:rFonts w:cs="Times New Roman"/>
          <w:kern w:val="0"/>
          <w:szCs w:val="20"/>
        </w:rPr>
        <w:t>。</w:t>
      </w:r>
    </w:p>
    <w:p w14:paraId="4523677D">
      <w:pPr>
        <w:pStyle w:val="4"/>
      </w:pPr>
      <w:r>
        <w:rPr>
          <w:b/>
        </w:rPr>
        <w:t>B.0.6</w:t>
      </w:r>
      <w:r>
        <w:t xml:space="preserve">  试件的等效弯曲强度</w:t>
      </w:r>
      <w:r>
        <w:rPr>
          <w:kern w:val="0"/>
          <w:szCs w:val="20"/>
        </w:rPr>
        <w:t>R</w:t>
      </w:r>
      <w:r>
        <w:rPr>
          <w:i/>
          <w:iCs/>
          <w:kern w:val="0"/>
          <w:szCs w:val="20"/>
          <w:vertAlign w:val="subscript"/>
        </w:rPr>
        <w:t>f</w:t>
      </w:r>
      <w:r>
        <w:t>按下式计算（图B.0.6）：</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99"/>
        <w:gridCol w:w="1127"/>
      </w:tblGrid>
      <w:tr w14:paraId="5DF07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799" w:type="dxa"/>
            <w:vAlign w:val="center"/>
          </w:tcPr>
          <w:p w14:paraId="0A96D0D1">
            <w:pPr>
              <w:pStyle w:val="55"/>
              <w:spacing w:before="31" w:after="31"/>
              <w:rPr>
                <w:rFonts w:cs="Times New Roman"/>
              </w:rPr>
            </w:pPr>
            <w:r>
              <w:rPr>
                <w:rFonts w:cs="Times New Roman"/>
              </w:rPr>
              <w:object>
                <v:shape id="_x0000_i1267" o:spt="75" type="#_x0000_t75" style="height:27.4pt;width:46.75pt;" o:ole="t" filled="f" o:preferrelative="t" stroked="f" coordsize="21600,21600">
                  <v:path/>
                  <v:fill on="f" focussize="0,0"/>
                  <v:stroke on="f" joinstyle="miter"/>
                  <v:imagedata r:id="rId486" o:title=""/>
                  <o:lock v:ext="edit" aspectratio="t"/>
                  <w10:wrap type="none"/>
                  <w10:anchorlock/>
                </v:shape>
                <o:OLEObject Type="Embed" ProgID="Equation.3" ShapeID="_x0000_i1267" DrawAspect="Content" ObjectID="_1468075965" r:id="rId485">
                  <o:LockedField>false</o:LockedField>
                </o:OLEObject>
              </w:object>
            </w:r>
          </w:p>
        </w:tc>
        <w:tc>
          <w:tcPr>
            <w:tcW w:w="1127" w:type="dxa"/>
            <w:vAlign w:val="center"/>
          </w:tcPr>
          <w:p w14:paraId="56D5AA3B">
            <w:pPr>
              <w:pStyle w:val="55"/>
              <w:spacing w:before="31" w:after="31"/>
              <w:rPr>
                <w:rFonts w:cs="Times New Roman"/>
              </w:rPr>
            </w:pPr>
            <w:r>
              <w:rPr>
                <w:rFonts w:cs="Times New Roman"/>
              </w:rPr>
              <w:t>（B.0.6）</w:t>
            </w:r>
          </w:p>
        </w:tc>
      </w:tr>
    </w:tbl>
    <w:p w14:paraId="6A22AD51">
      <w:pPr>
        <w:widowControl/>
        <w:tabs>
          <w:tab w:val="center" w:pos="4201"/>
          <w:tab w:val="right" w:leader="dot" w:pos="9298"/>
        </w:tabs>
        <w:autoSpaceDE w:val="0"/>
        <w:autoSpaceDN w:val="0"/>
        <w:ind w:firstLine="420"/>
        <w:rPr>
          <w:rFonts w:cs="Times New Roman"/>
          <w:kern w:val="0"/>
          <w:szCs w:val="20"/>
        </w:rPr>
      </w:pPr>
      <w:r>
        <w:rPr>
          <w:rFonts w:cs="Times New Roman"/>
          <w:kern w:val="0"/>
          <w:szCs w:val="20"/>
        </w:rPr>
        <w:t>式中：</w:t>
      </w:r>
    </w:p>
    <w:tbl>
      <w:tblPr>
        <w:tblStyle w:val="28"/>
        <w:tblW w:w="5000" w:type="pct"/>
        <w:tblInd w:w="0" w:type="dxa"/>
        <w:tblLayout w:type="autofit"/>
        <w:tblCellMar>
          <w:top w:w="0" w:type="dxa"/>
          <w:left w:w="0" w:type="dxa"/>
          <w:bottom w:w="0" w:type="dxa"/>
          <w:right w:w="0" w:type="dxa"/>
        </w:tblCellMar>
      </w:tblPr>
      <w:tblGrid>
        <w:gridCol w:w="563"/>
        <w:gridCol w:w="709"/>
        <w:gridCol w:w="6664"/>
      </w:tblGrid>
      <w:tr w14:paraId="46444D70">
        <w:tblPrEx>
          <w:tblCellMar>
            <w:top w:w="0" w:type="dxa"/>
            <w:left w:w="0" w:type="dxa"/>
            <w:bottom w:w="0" w:type="dxa"/>
            <w:right w:w="0" w:type="dxa"/>
          </w:tblCellMar>
        </w:tblPrEx>
        <w:tc>
          <w:tcPr>
            <w:tcW w:w="355" w:type="pct"/>
            <w:vAlign w:val="center"/>
          </w:tcPr>
          <w:p w14:paraId="4F5FEED7">
            <w:pPr>
              <w:pStyle w:val="55"/>
              <w:spacing w:before="31" w:after="31"/>
              <w:rPr>
                <w:rFonts w:cs="Times New Roman"/>
                <w:szCs w:val="21"/>
              </w:rPr>
            </w:pPr>
            <w:r>
              <w:rPr>
                <w:rFonts w:cs="Times New Roman"/>
              </w:rPr>
              <w:t>R</w:t>
            </w:r>
            <w:r>
              <w:rPr>
                <w:rFonts w:cs="Times New Roman"/>
                <w:vertAlign w:val="subscript"/>
              </w:rPr>
              <w:t>f</w:t>
            </w:r>
          </w:p>
        </w:tc>
        <w:tc>
          <w:tcPr>
            <w:tcW w:w="447" w:type="pct"/>
            <w:vAlign w:val="center"/>
          </w:tcPr>
          <w:p w14:paraId="2E5A95F5">
            <w:pPr>
              <w:pStyle w:val="55"/>
              <w:spacing w:before="31" w:after="31"/>
              <w:rPr>
                <w:rFonts w:cs="Times New Roman"/>
                <w:szCs w:val="21"/>
              </w:rPr>
            </w:pPr>
            <w:r>
              <w:rPr>
                <w:rFonts w:cs="Times New Roman"/>
                <w:szCs w:val="21"/>
              </w:rPr>
              <w:t>——</w:t>
            </w:r>
          </w:p>
        </w:tc>
        <w:tc>
          <w:tcPr>
            <w:tcW w:w="4198" w:type="pct"/>
            <w:vAlign w:val="center"/>
          </w:tcPr>
          <w:p w14:paraId="6437A866">
            <w:pPr>
              <w:pStyle w:val="55"/>
              <w:spacing w:before="31" w:after="31"/>
              <w:rPr>
                <w:rFonts w:cs="Times New Roman"/>
                <w:szCs w:val="21"/>
              </w:rPr>
            </w:pPr>
            <w:r>
              <w:rPr>
                <w:rFonts w:cs="Times New Roman"/>
              </w:rPr>
              <w:t>抗折强度,单位为兆帕(MPa)，精确至0.1MPa；</w:t>
            </w:r>
          </w:p>
        </w:tc>
      </w:tr>
      <w:tr w14:paraId="22014BC4">
        <w:tblPrEx>
          <w:tblCellMar>
            <w:top w:w="0" w:type="dxa"/>
            <w:left w:w="0" w:type="dxa"/>
            <w:bottom w:w="0" w:type="dxa"/>
            <w:right w:w="0" w:type="dxa"/>
          </w:tblCellMar>
        </w:tblPrEx>
        <w:tc>
          <w:tcPr>
            <w:tcW w:w="355" w:type="pct"/>
            <w:vAlign w:val="center"/>
          </w:tcPr>
          <w:p w14:paraId="455B893E">
            <w:pPr>
              <w:pStyle w:val="55"/>
              <w:spacing w:before="31" w:after="31"/>
              <w:rPr>
                <w:rFonts w:cs="Times New Roman"/>
                <w:szCs w:val="21"/>
              </w:rPr>
            </w:pPr>
            <w:r>
              <w:rPr>
                <w:rFonts w:cs="Times New Roman"/>
              </w:rPr>
              <w:t>F</w:t>
            </w:r>
            <w:r>
              <w:rPr>
                <w:rFonts w:cs="Times New Roman"/>
                <w:vertAlign w:val="subscript"/>
              </w:rPr>
              <w:t>f</w:t>
            </w:r>
          </w:p>
        </w:tc>
        <w:tc>
          <w:tcPr>
            <w:tcW w:w="447" w:type="pct"/>
            <w:vAlign w:val="center"/>
          </w:tcPr>
          <w:p w14:paraId="63ACFB45">
            <w:pPr>
              <w:pStyle w:val="55"/>
              <w:spacing w:before="31" w:after="31"/>
              <w:rPr>
                <w:rFonts w:cs="Times New Roman"/>
                <w:szCs w:val="21"/>
              </w:rPr>
            </w:pPr>
            <w:r>
              <w:rPr>
                <w:rFonts w:cs="Times New Roman"/>
                <w:szCs w:val="21"/>
              </w:rPr>
              <w:t>——</w:t>
            </w:r>
          </w:p>
        </w:tc>
        <w:tc>
          <w:tcPr>
            <w:tcW w:w="4198" w:type="pct"/>
            <w:vAlign w:val="center"/>
          </w:tcPr>
          <w:p w14:paraId="7E30678B">
            <w:pPr>
              <w:pStyle w:val="55"/>
              <w:spacing w:before="31" w:after="31"/>
              <w:rPr>
                <w:rFonts w:cs="Times New Roman"/>
                <w:szCs w:val="21"/>
              </w:rPr>
            </w:pPr>
            <w:r>
              <w:rPr>
                <w:rFonts w:cs="Times New Roman"/>
              </w:rPr>
              <w:t>折断时施加于棱柱体中部的荷载，单位为牛顿(N)</w:t>
            </w:r>
            <w:r>
              <w:rPr>
                <w:rFonts w:cs="Times New Roman"/>
                <w:szCs w:val="21"/>
              </w:rPr>
              <w:t>；</w:t>
            </w:r>
          </w:p>
        </w:tc>
      </w:tr>
      <w:tr w14:paraId="2701C73F">
        <w:tblPrEx>
          <w:tblCellMar>
            <w:top w:w="0" w:type="dxa"/>
            <w:left w:w="0" w:type="dxa"/>
            <w:bottom w:w="0" w:type="dxa"/>
            <w:right w:w="0" w:type="dxa"/>
          </w:tblCellMar>
        </w:tblPrEx>
        <w:tc>
          <w:tcPr>
            <w:tcW w:w="355" w:type="pct"/>
            <w:vAlign w:val="center"/>
          </w:tcPr>
          <w:p w14:paraId="26C452E1">
            <w:pPr>
              <w:pStyle w:val="55"/>
              <w:spacing w:before="31" w:after="31"/>
              <w:rPr>
                <w:rFonts w:cs="Times New Roman"/>
                <w:szCs w:val="21"/>
              </w:rPr>
            </w:pPr>
            <w:r>
              <w:rPr>
                <w:rFonts w:cs="Times New Roman"/>
              </w:rPr>
              <w:t>L</w:t>
            </w:r>
          </w:p>
        </w:tc>
        <w:tc>
          <w:tcPr>
            <w:tcW w:w="447" w:type="pct"/>
            <w:vAlign w:val="center"/>
          </w:tcPr>
          <w:p w14:paraId="54AC4FD0">
            <w:pPr>
              <w:pStyle w:val="55"/>
              <w:spacing w:before="31" w:after="31"/>
              <w:rPr>
                <w:rFonts w:cs="Times New Roman"/>
                <w:szCs w:val="21"/>
              </w:rPr>
            </w:pPr>
            <w:r>
              <w:rPr>
                <w:rFonts w:cs="Times New Roman"/>
                <w:szCs w:val="21"/>
              </w:rPr>
              <w:t>——</w:t>
            </w:r>
          </w:p>
        </w:tc>
        <w:tc>
          <w:tcPr>
            <w:tcW w:w="4198" w:type="pct"/>
          </w:tcPr>
          <w:p w14:paraId="717EC2BD">
            <w:pPr>
              <w:pStyle w:val="55"/>
              <w:spacing w:before="31" w:after="31"/>
              <w:rPr>
                <w:rFonts w:cs="Times New Roman"/>
                <w:szCs w:val="21"/>
              </w:rPr>
            </w:pPr>
            <w:r>
              <w:rPr>
                <w:rFonts w:cs="Times New Roman"/>
              </w:rPr>
              <w:t>支撑辊轴之间的距离，单位为毫米(mm)；</w:t>
            </w:r>
            <w:r>
              <w:rPr>
                <w:rFonts w:cs="Times New Roman"/>
                <w:szCs w:val="21"/>
              </w:rPr>
              <w:t>；</w:t>
            </w:r>
          </w:p>
        </w:tc>
      </w:tr>
      <w:tr w14:paraId="033A6174">
        <w:tblPrEx>
          <w:tblCellMar>
            <w:top w:w="0" w:type="dxa"/>
            <w:left w:w="0" w:type="dxa"/>
            <w:bottom w:w="0" w:type="dxa"/>
            <w:right w:w="0" w:type="dxa"/>
          </w:tblCellMar>
        </w:tblPrEx>
        <w:tc>
          <w:tcPr>
            <w:tcW w:w="355" w:type="pct"/>
            <w:vAlign w:val="center"/>
          </w:tcPr>
          <w:p w14:paraId="0A4575A9">
            <w:pPr>
              <w:pStyle w:val="55"/>
              <w:spacing w:before="31" w:after="31"/>
              <w:rPr>
                <w:rFonts w:cs="Times New Roman"/>
                <w:szCs w:val="21"/>
              </w:rPr>
            </w:pPr>
            <w:r>
              <w:rPr>
                <w:rFonts w:cs="Times New Roman"/>
              </w:rPr>
              <w:t>b</w:t>
            </w:r>
          </w:p>
        </w:tc>
        <w:tc>
          <w:tcPr>
            <w:tcW w:w="447" w:type="pct"/>
            <w:vAlign w:val="center"/>
          </w:tcPr>
          <w:p w14:paraId="25BF8998">
            <w:pPr>
              <w:pStyle w:val="55"/>
              <w:spacing w:before="31" w:after="31"/>
              <w:rPr>
                <w:rFonts w:cs="Times New Roman"/>
                <w:szCs w:val="21"/>
              </w:rPr>
            </w:pPr>
            <w:r>
              <w:rPr>
                <w:rFonts w:cs="Times New Roman"/>
                <w:szCs w:val="21"/>
              </w:rPr>
              <w:t>——</w:t>
            </w:r>
          </w:p>
        </w:tc>
        <w:tc>
          <w:tcPr>
            <w:tcW w:w="4198" w:type="pct"/>
            <w:vAlign w:val="center"/>
          </w:tcPr>
          <w:p w14:paraId="400E64B6">
            <w:pPr>
              <w:pStyle w:val="55"/>
              <w:spacing w:before="31" w:after="31"/>
              <w:rPr>
                <w:rFonts w:cs="Times New Roman"/>
                <w:szCs w:val="21"/>
              </w:rPr>
            </w:pPr>
            <w:r>
              <w:rPr>
                <w:rFonts w:cs="Times New Roman"/>
              </w:rPr>
              <w:t>棱柱体正方形截面的边长，单位为毫米(mm)。</w:t>
            </w:r>
          </w:p>
        </w:tc>
      </w:tr>
    </w:tbl>
    <w:p w14:paraId="1ECEB183">
      <w:pPr>
        <w:spacing w:before="93" w:beforeLines="30" w:after="93" w:afterLines="30"/>
        <w:ind w:firstLine="560"/>
        <w:jc w:val="center"/>
        <w:rPr>
          <w:rFonts w:eastAsia="黑体"/>
          <w:sz w:val="28"/>
          <w:szCs w:val="28"/>
        </w:rPr>
      </w:pPr>
      <w:r>
        <w:rPr>
          <w:rFonts w:eastAsia="黑体"/>
          <w:sz w:val="28"/>
          <w:szCs w:val="28"/>
        </w:rPr>
        <w:br w:type="page"/>
      </w:r>
      <w:bookmarkStart w:id="868" w:name="_Toc17834"/>
      <w:bookmarkStart w:id="869" w:name="_Toc79615821"/>
      <w:bookmarkStart w:id="870" w:name="_Toc54369097"/>
      <w:bookmarkStart w:id="871" w:name="_Toc26860"/>
      <w:bookmarkStart w:id="872" w:name="_Toc54368870"/>
      <w:bookmarkStart w:id="873" w:name="_Toc4981"/>
      <w:bookmarkStart w:id="874" w:name="_Toc9645"/>
      <w:bookmarkStart w:id="875" w:name="_Toc54369098"/>
      <w:bookmarkStart w:id="876" w:name="_Toc18602403"/>
      <w:bookmarkStart w:id="877" w:name="_Toc17131413"/>
      <w:bookmarkStart w:id="878" w:name="_Toc17276649"/>
    </w:p>
    <w:p w14:paraId="06A07EB8">
      <w:pPr>
        <w:pStyle w:val="2"/>
        <w:spacing w:after="312"/>
      </w:pPr>
      <w:bookmarkStart w:id="879" w:name="_Toc54256666"/>
      <w:bookmarkStart w:id="880" w:name="_Toc48210380"/>
      <w:bookmarkStart w:id="881" w:name="_Toc48138990"/>
      <w:bookmarkStart w:id="882" w:name="_Toc63348942"/>
      <w:bookmarkStart w:id="883" w:name="_Toc67330610"/>
      <w:bookmarkStart w:id="884" w:name="_Toc63348866"/>
      <w:bookmarkStart w:id="885" w:name="_Toc54255572"/>
      <w:bookmarkStart w:id="886" w:name="_Toc48210157"/>
      <w:bookmarkStart w:id="887" w:name="_Toc48138912"/>
      <w:bookmarkStart w:id="888" w:name="_Toc52264516"/>
      <w:bookmarkStart w:id="889" w:name="_Toc207111738"/>
      <w:bookmarkStart w:id="890" w:name="_Toc5498"/>
      <w:bookmarkStart w:id="891" w:name="_Toc16340"/>
      <w:bookmarkStart w:id="892" w:name="_Toc70169753"/>
      <w:bookmarkStart w:id="893" w:name="_Toc70169833"/>
      <w:bookmarkStart w:id="894" w:name="_Toc31924"/>
      <w:bookmarkStart w:id="895" w:name="_Toc27067"/>
      <w:bookmarkStart w:id="896" w:name="_Toc4108"/>
      <w:bookmarkStart w:id="897" w:name="_Toc6999"/>
      <w:bookmarkStart w:id="898" w:name="_Toc6396"/>
      <w:bookmarkStart w:id="899" w:name="_Toc16408"/>
      <w:r>
        <w:rPr>
          <w:rFonts w:hint="eastAsia"/>
        </w:rPr>
        <w:t>附录C</w:t>
      </w:r>
      <w:r>
        <w:t xml:space="preserve">  农村房屋</w:t>
      </w:r>
      <w:bookmarkEnd w:id="879"/>
      <w:bookmarkEnd w:id="880"/>
      <w:bookmarkEnd w:id="881"/>
      <w:bookmarkEnd w:id="882"/>
      <w:bookmarkEnd w:id="883"/>
      <w:bookmarkEnd w:id="884"/>
      <w:bookmarkEnd w:id="885"/>
      <w:bookmarkEnd w:id="886"/>
      <w:bookmarkEnd w:id="887"/>
      <w:bookmarkEnd w:id="888"/>
      <w:r>
        <w:t>加固</w:t>
      </w:r>
      <w:bookmarkEnd w:id="889"/>
      <w:bookmarkEnd w:id="890"/>
      <w:bookmarkEnd w:id="891"/>
      <w:bookmarkEnd w:id="892"/>
      <w:bookmarkEnd w:id="893"/>
      <w:bookmarkEnd w:id="894"/>
      <w:bookmarkEnd w:id="895"/>
      <w:bookmarkEnd w:id="896"/>
    </w:p>
    <w:p w14:paraId="562A1DDA">
      <w:pPr>
        <w:pStyle w:val="3"/>
      </w:pPr>
      <w:bookmarkStart w:id="900" w:name="_Toc9068"/>
      <w:bookmarkStart w:id="901" w:name="_Toc12365"/>
      <w:bookmarkStart w:id="902" w:name="_Toc38352796"/>
      <w:bookmarkStart w:id="903" w:name="_Toc67330611"/>
      <w:bookmarkStart w:id="904" w:name="_Toc54255573"/>
      <w:bookmarkStart w:id="905" w:name="_Toc6167"/>
      <w:bookmarkStart w:id="906" w:name="_Toc16253926"/>
      <w:bookmarkStart w:id="907" w:name="_Toc25308161"/>
      <w:bookmarkStart w:id="908" w:name="_Toc54256667"/>
      <w:bookmarkStart w:id="909" w:name="_Toc48210158"/>
      <w:bookmarkStart w:id="910" w:name="_Toc52264517"/>
      <w:bookmarkStart w:id="911" w:name="_Toc32865100"/>
      <w:bookmarkStart w:id="912" w:name="_Toc63348867"/>
      <w:bookmarkStart w:id="913" w:name="_Toc38358422"/>
      <w:bookmarkStart w:id="914" w:name="_Toc63348943"/>
      <w:bookmarkStart w:id="915" w:name="_Toc48138991"/>
      <w:bookmarkStart w:id="916" w:name="_Toc2389"/>
      <w:bookmarkStart w:id="917" w:name="_Toc48138835"/>
      <w:bookmarkStart w:id="918" w:name="_Toc48210381"/>
      <w:bookmarkStart w:id="919" w:name="_Toc70169834"/>
      <w:bookmarkStart w:id="920" w:name="_Toc48138913"/>
      <w:bookmarkStart w:id="921" w:name="_Toc25172138"/>
      <w:bookmarkStart w:id="922" w:name="_Toc70169754"/>
      <w:bookmarkStart w:id="923" w:name="_Toc207111739"/>
      <w:bookmarkStart w:id="924" w:name="_Toc32848361"/>
      <w:bookmarkStart w:id="925" w:name="_Toc19545307"/>
      <w:bookmarkStart w:id="926" w:name="_Toc25690970"/>
      <w:bookmarkStart w:id="927" w:name="_Toc25070726"/>
      <w:bookmarkStart w:id="928" w:name="_Toc511722938"/>
      <w:bookmarkStart w:id="929" w:name="_Toc511230977"/>
      <w:r>
        <w:rPr>
          <w:rFonts w:hint="eastAsia"/>
        </w:rPr>
        <w:t>C.</w:t>
      </w:r>
      <w:r>
        <w:t>1  一般规定</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14:paraId="28C81933">
      <w:pPr>
        <w:pStyle w:val="4"/>
      </w:pPr>
      <w:bookmarkStart w:id="930" w:name="_Toc10207236"/>
      <w:bookmarkStart w:id="931" w:name="_Toc9927721"/>
      <w:bookmarkStart w:id="932" w:name="_Toc7976155"/>
      <w:bookmarkStart w:id="933" w:name="_Toc16253927"/>
      <w:bookmarkStart w:id="934" w:name="_Toc25308162"/>
      <w:bookmarkStart w:id="935" w:name="_Toc25172139"/>
      <w:r>
        <w:rPr>
          <w:rFonts w:hint="eastAsia"/>
          <w:b/>
        </w:rPr>
        <w:t>C.</w:t>
      </w:r>
      <w:r>
        <w:rPr>
          <w:b/>
        </w:rPr>
        <w:t xml:space="preserve">1.1 </w:t>
      </w:r>
      <w:r>
        <w:t xml:space="preserve"> 本章适用于</w:t>
      </w:r>
      <w:r>
        <w:rPr>
          <w:rFonts w:hint="eastAsia"/>
        </w:rPr>
        <w:t>西藏自治区抗震设防烈度为7、8 度的农村地区，且层数为一、二层的土-木结构房屋、石-木结构房屋、砌块-木结构房屋以及其他混杂结构的农房加固。9 度区农房的抗震加固应组织专家进行研究与论证，制定符合当地实际的技术措施。</w:t>
      </w:r>
      <w:bookmarkEnd w:id="930"/>
      <w:bookmarkEnd w:id="931"/>
      <w:bookmarkEnd w:id="932"/>
      <w:r>
        <w:t>其中，砌体构件所用块材为烧结普通砖、烧结多孔砖、混凝土小型空心砌块。</w:t>
      </w:r>
      <w:bookmarkEnd w:id="933"/>
      <w:bookmarkEnd w:id="934"/>
      <w:bookmarkEnd w:id="935"/>
      <w:bookmarkStart w:id="936" w:name="_Toc25172142"/>
      <w:bookmarkStart w:id="937" w:name="_Toc10207239"/>
      <w:bookmarkStart w:id="938" w:name="_Toc7976158"/>
      <w:bookmarkStart w:id="939" w:name="_Toc25308165"/>
      <w:bookmarkStart w:id="940" w:name="_Toc9927724"/>
      <w:bookmarkStart w:id="941" w:name="_Toc16253931"/>
    </w:p>
    <w:p w14:paraId="1F7B8DAD">
      <w:pPr>
        <w:pStyle w:val="4"/>
      </w:pPr>
      <w:r>
        <w:rPr>
          <w:rFonts w:hint="eastAsia"/>
          <w:b/>
        </w:rPr>
        <w:t>C.1.2</w:t>
      </w:r>
      <w:r>
        <w:rPr>
          <w:rFonts w:hint="eastAsia"/>
        </w:rPr>
        <w:t xml:space="preserve">  </w:t>
      </w:r>
      <w:r>
        <w:t>农村房屋</w:t>
      </w:r>
      <w:r>
        <w:rPr>
          <w:rFonts w:hint="eastAsia"/>
        </w:rPr>
        <w:t>的屋面、地基基础、木构件等本标准未涉及的加固内容，应按国家及西藏自治区现行有关标准的规定进行处理。</w:t>
      </w:r>
    </w:p>
    <w:p w14:paraId="61F6D8A6">
      <w:pPr>
        <w:pStyle w:val="4"/>
      </w:pPr>
      <w:r>
        <w:rPr>
          <w:rFonts w:hint="eastAsia"/>
          <w:b/>
        </w:rPr>
        <w:t>C.1</w:t>
      </w:r>
      <w:r>
        <w:rPr>
          <w:b/>
        </w:rPr>
        <w:t>.</w:t>
      </w:r>
      <w:r>
        <w:rPr>
          <w:rFonts w:hint="eastAsia"/>
          <w:b/>
        </w:rPr>
        <w:t>3</w:t>
      </w:r>
      <w:r>
        <w:t xml:space="preserve">  高延性混凝土加固农村房屋应</w:t>
      </w:r>
      <w:r>
        <w:rPr>
          <w:rFonts w:hint="eastAsia"/>
        </w:rPr>
        <w:t>进行</w:t>
      </w:r>
      <w:r>
        <w:t>设计、施工</w:t>
      </w:r>
      <w:r>
        <w:rPr>
          <w:rFonts w:hint="eastAsia"/>
        </w:rPr>
        <w:t>和</w:t>
      </w:r>
      <w:r>
        <w:t>验收。</w:t>
      </w:r>
      <w:bookmarkEnd w:id="936"/>
      <w:bookmarkEnd w:id="937"/>
      <w:bookmarkEnd w:id="938"/>
      <w:bookmarkEnd w:id="939"/>
      <w:bookmarkEnd w:id="940"/>
      <w:bookmarkEnd w:id="941"/>
    </w:p>
    <w:p w14:paraId="55E237FD">
      <w:pPr>
        <w:pStyle w:val="4"/>
      </w:pPr>
      <w:bookmarkStart w:id="942" w:name="_Toc17278130"/>
      <w:bookmarkStart w:id="943" w:name="_Toc18600631"/>
      <w:bookmarkStart w:id="944" w:name="_Toc17131344"/>
      <w:bookmarkStart w:id="945" w:name="_Toc17276593"/>
      <w:bookmarkStart w:id="946" w:name="_Toc17131102"/>
      <w:bookmarkStart w:id="947" w:name="_Toc18602347"/>
      <w:bookmarkStart w:id="948" w:name="_Toc17276384"/>
      <w:bookmarkStart w:id="949" w:name="_Toc25172143"/>
      <w:bookmarkStart w:id="950" w:name="_Toc10207240"/>
      <w:bookmarkStart w:id="951" w:name="_Toc7976159"/>
      <w:bookmarkStart w:id="952" w:name="_Toc25308166"/>
      <w:bookmarkStart w:id="953" w:name="_Toc9927725"/>
      <w:bookmarkStart w:id="954" w:name="_Toc16253932"/>
      <w:r>
        <w:rPr>
          <w:rFonts w:hint="eastAsia"/>
          <w:b/>
        </w:rPr>
        <w:t>C.</w:t>
      </w:r>
      <w:r>
        <w:rPr>
          <w:b/>
        </w:rPr>
        <w:t>1.</w:t>
      </w:r>
      <w:r>
        <w:rPr>
          <w:rFonts w:hint="eastAsia"/>
          <w:b/>
        </w:rPr>
        <w:t>4</w:t>
      </w:r>
      <w:r>
        <w:t xml:space="preserve">  高延性混凝土条带加固农村房屋时，</w:t>
      </w:r>
      <w:r>
        <w:rPr>
          <w:rFonts w:hint="eastAsia"/>
        </w:rPr>
        <w:t>应使用</w:t>
      </w:r>
      <w:r>
        <w:t>I类</w:t>
      </w:r>
      <w:r>
        <w:rPr>
          <w:rFonts w:hint="eastAsia"/>
        </w:rPr>
        <w:t>或</w:t>
      </w:r>
      <w:r>
        <w:t>II类高延性混凝土；高延性混凝土</w:t>
      </w:r>
      <w:r>
        <w:rPr>
          <w:rFonts w:hint="eastAsia"/>
        </w:rPr>
        <w:t>面层</w:t>
      </w:r>
      <w:r>
        <w:t>加固农村房屋时，</w:t>
      </w:r>
      <w:r>
        <w:rPr>
          <w:rFonts w:hint="eastAsia"/>
        </w:rPr>
        <w:t>可使用</w:t>
      </w:r>
      <w:r>
        <w:t>III类高延性混凝土。</w:t>
      </w:r>
      <w:bookmarkEnd w:id="942"/>
      <w:bookmarkEnd w:id="943"/>
      <w:bookmarkEnd w:id="944"/>
      <w:bookmarkEnd w:id="945"/>
      <w:bookmarkEnd w:id="946"/>
      <w:bookmarkEnd w:id="947"/>
      <w:bookmarkEnd w:id="948"/>
    </w:p>
    <w:bookmarkEnd w:id="949"/>
    <w:bookmarkEnd w:id="950"/>
    <w:bookmarkEnd w:id="951"/>
    <w:bookmarkEnd w:id="952"/>
    <w:bookmarkEnd w:id="953"/>
    <w:bookmarkEnd w:id="954"/>
    <w:p w14:paraId="628ABD06">
      <w:pPr>
        <w:pStyle w:val="3"/>
      </w:pPr>
      <w:bookmarkStart w:id="955" w:name="_Toc511722935"/>
      <w:bookmarkStart w:id="956" w:name="_Toc511230974"/>
      <w:bookmarkStart w:id="957" w:name="_Toc63348944"/>
      <w:bookmarkStart w:id="958" w:name="_Toc20864"/>
      <w:bookmarkStart w:id="959" w:name="_Toc28496"/>
      <w:bookmarkStart w:id="960" w:name="_Toc32865101"/>
      <w:bookmarkStart w:id="961" w:name="_Toc52264518"/>
      <w:bookmarkStart w:id="962" w:name="_Toc54256668"/>
      <w:bookmarkStart w:id="963" w:name="_Toc48138836"/>
      <w:bookmarkStart w:id="964" w:name="_Toc16253934"/>
      <w:bookmarkStart w:id="965" w:name="_Toc48210382"/>
      <w:bookmarkStart w:id="966" w:name="_Toc70169835"/>
      <w:bookmarkStart w:id="967" w:name="_Toc11721"/>
      <w:bookmarkStart w:id="968" w:name="_Toc70169755"/>
      <w:bookmarkStart w:id="969" w:name="_Toc48138992"/>
      <w:bookmarkStart w:id="970" w:name="_Toc54255574"/>
      <w:bookmarkStart w:id="971" w:name="_Toc8152"/>
      <w:bookmarkStart w:id="972" w:name="_Toc48210159"/>
      <w:bookmarkStart w:id="973" w:name="_Toc38358423"/>
      <w:bookmarkStart w:id="974" w:name="_Toc48138914"/>
      <w:bookmarkStart w:id="975" w:name="_Toc63348868"/>
      <w:bookmarkStart w:id="976" w:name="_Toc25308167"/>
      <w:bookmarkStart w:id="977" w:name="_Toc38352797"/>
      <w:bookmarkStart w:id="978" w:name="_Toc67330612"/>
      <w:bookmarkStart w:id="979" w:name="_Toc25172144"/>
      <w:bookmarkStart w:id="980" w:name="_Toc207111740"/>
      <w:r>
        <w:rPr>
          <w:rFonts w:hint="eastAsia"/>
        </w:rPr>
        <w:t>C.</w:t>
      </w:r>
      <w:r>
        <w:t>2  基本</w:t>
      </w:r>
      <w:bookmarkEnd w:id="955"/>
      <w:bookmarkEnd w:id="956"/>
      <w:r>
        <w:t>要求</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p w14:paraId="7F828065">
      <w:pPr>
        <w:pStyle w:val="4"/>
      </w:pPr>
      <w:bookmarkStart w:id="981" w:name="_Toc7976161"/>
      <w:bookmarkStart w:id="982" w:name="_Toc25172145"/>
      <w:bookmarkStart w:id="983" w:name="_Toc10207243"/>
      <w:bookmarkStart w:id="984" w:name="_Toc9927727"/>
      <w:bookmarkStart w:id="985" w:name="_Toc25308168"/>
      <w:bookmarkStart w:id="986" w:name="_Toc16253935"/>
      <w:r>
        <w:rPr>
          <w:rFonts w:hint="eastAsia"/>
          <w:b/>
        </w:rPr>
        <w:t xml:space="preserve">C.2.1  </w:t>
      </w:r>
      <w:r>
        <w:rPr>
          <w:rFonts w:hint="eastAsia"/>
        </w:rPr>
        <w:t>农村房屋加固后的抗震设防目标为：当遭受低于本地区抗震设防烈度的多遇地震影响时，一般不需修复或简单修复后可继续使用；当遭受相当于本地区抗震设防烈度的地震影响时，主体结构不至于严重破坏，围护结构不发生大面积倒塌。</w:t>
      </w:r>
    </w:p>
    <w:bookmarkEnd w:id="981"/>
    <w:bookmarkEnd w:id="982"/>
    <w:bookmarkEnd w:id="983"/>
    <w:bookmarkEnd w:id="984"/>
    <w:bookmarkEnd w:id="985"/>
    <w:bookmarkEnd w:id="986"/>
    <w:p w14:paraId="4C848E23">
      <w:pPr>
        <w:pStyle w:val="4"/>
      </w:pPr>
      <w:bookmarkStart w:id="987" w:name="_Toc7976162"/>
      <w:bookmarkStart w:id="988" w:name="_Toc9927728"/>
      <w:bookmarkStart w:id="989" w:name="_Toc25172146"/>
      <w:bookmarkStart w:id="990" w:name="_Toc16253936"/>
      <w:bookmarkStart w:id="991" w:name="_Toc25308169"/>
      <w:bookmarkStart w:id="992" w:name="_Toc10207244"/>
      <w:r>
        <w:rPr>
          <w:rFonts w:hint="eastAsia"/>
          <w:b/>
        </w:rPr>
        <w:t>C.</w:t>
      </w:r>
      <w:r>
        <w:rPr>
          <w:b/>
        </w:rPr>
        <w:t>2.2</w:t>
      </w:r>
      <w:r>
        <w:t xml:space="preserve">  当基础无腐蚀、酥碱、松散和剥落，无不均匀沉降</w:t>
      </w:r>
      <w:r>
        <w:rPr>
          <w:rFonts w:hint="eastAsia"/>
        </w:rPr>
        <w:t>、</w:t>
      </w:r>
      <w:r>
        <w:t>倾斜</w:t>
      </w:r>
      <w:r>
        <w:rPr>
          <w:rFonts w:hint="eastAsia"/>
        </w:rPr>
        <w:t>和开裂</w:t>
      </w:r>
      <w:r>
        <w:t>，或虽有不均匀沉降</w:t>
      </w:r>
      <w:r>
        <w:rPr>
          <w:rFonts w:hint="eastAsia"/>
        </w:rPr>
        <w:t>、开裂</w:t>
      </w:r>
      <w:r>
        <w:t>、倾斜但不严重且无发展趋势时，应以加强上部结构的整体性为主；当不均匀沉降和上部结构开裂、倾斜仍在发展时，应先对地基基础进行加固，再进行上部结构加固处理。</w:t>
      </w:r>
      <w:bookmarkEnd w:id="987"/>
      <w:bookmarkEnd w:id="988"/>
      <w:bookmarkEnd w:id="989"/>
      <w:bookmarkEnd w:id="990"/>
      <w:bookmarkEnd w:id="991"/>
      <w:bookmarkEnd w:id="992"/>
    </w:p>
    <w:p w14:paraId="144DC0D7">
      <w:pPr>
        <w:pStyle w:val="4"/>
        <w:rPr>
          <w:szCs w:val="24"/>
        </w:rPr>
      </w:pPr>
      <w:r>
        <w:rPr>
          <w:rFonts w:hint="eastAsia" w:eastAsia="黑体"/>
          <w:b/>
          <w:szCs w:val="24"/>
        </w:rPr>
        <w:t>C.</w:t>
      </w:r>
      <w:r>
        <w:rPr>
          <w:rFonts w:eastAsia="黑体"/>
          <w:b/>
          <w:szCs w:val="24"/>
        </w:rPr>
        <w:t>2.3</w:t>
      </w:r>
      <w:r>
        <w:rPr>
          <w:rFonts w:hint="eastAsia"/>
          <w:szCs w:val="24"/>
        </w:rPr>
        <w:t xml:space="preserve">  </w:t>
      </w:r>
      <w:r>
        <w:rPr>
          <w:szCs w:val="24"/>
        </w:rPr>
        <w:t>上部结构的加固</w:t>
      </w:r>
      <w:r>
        <w:rPr>
          <w:rFonts w:hint="eastAsia"/>
          <w:szCs w:val="24"/>
        </w:rPr>
        <w:t>，应以提高房屋整体性和综合抗震能力为主，同时保证关键部位或关键构件的承载能力，并兼顾房屋的使用性和耐久性。</w:t>
      </w:r>
    </w:p>
    <w:p w14:paraId="3DC05DB0">
      <w:pPr>
        <w:pStyle w:val="4"/>
      </w:pPr>
      <w:r>
        <w:rPr>
          <w:rFonts w:hint="eastAsia"/>
          <w:b/>
        </w:rPr>
        <w:t>C.2.4</w:t>
      </w:r>
      <w:r>
        <w:rPr>
          <w:rFonts w:hint="eastAsia"/>
        </w:rPr>
        <w:t xml:space="preserve">  </w:t>
      </w:r>
      <w:bookmarkStart w:id="993" w:name="_Toc7976165"/>
      <w:bookmarkStart w:id="994" w:name="_Toc10207249"/>
      <w:bookmarkStart w:id="995" w:name="_Toc16253941"/>
      <w:bookmarkStart w:id="996" w:name="_Toc25308172"/>
      <w:bookmarkStart w:id="997" w:name="_Toc25172149"/>
      <w:bookmarkStart w:id="998" w:name="_Toc9927731"/>
      <w:r>
        <w:t>承接农村房屋加固改造项目的建筑工匠或施工单位的技术人员，应经过专门的技术培训。</w:t>
      </w:r>
      <w:bookmarkEnd w:id="993"/>
      <w:bookmarkEnd w:id="994"/>
      <w:bookmarkEnd w:id="995"/>
      <w:bookmarkEnd w:id="996"/>
      <w:bookmarkEnd w:id="997"/>
      <w:bookmarkEnd w:id="998"/>
      <w:bookmarkStart w:id="999" w:name="_Toc511722936"/>
      <w:bookmarkStart w:id="1000" w:name="_Toc511230975"/>
    </w:p>
    <w:bookmarkEnd w:id="999"/>
    <w:bookmarkEnd w:id="1000"/>
    <w:p w14:paraId="17D705DA">
      <w:pPr>
        <w:pStyle w:val="3"/>
      </w:pPr>
      <w:bookmarkStart w:id="1001" w:name="_Toc54256669"/>
      <w:bookmarkStart w:id="1002" w:name="_Toc13630"/>
      <w:bookmarkStart w:id="1003" w:name="_Toc48210160"/>
      <w:bookmarkStart w:id="1004" w:name="_Toc54255575"/>
      <w:bookmarkStart w:id="1005" w:name="_Toc48138993"/>
      <w:bookmarkStart w:id="1006" w:name="_Toc3784"/>
      <w:bookmarkStart w:id="1007" w:name="_Toc15366"/>
      <w:bookmarkStart w:id="1008" w:name="_Toc63348945"/>
      <w:bookmarkStart w:id="1009" w:name="_Toc9480"/>
      <w:bookmarkStart w:id="1010" w:name="_Toc70169836"/>
      <w:bookmarkStart w:id="1011" w:name="_Toc70169756"/>
      <w:bookmarkStart w:id="1012" w:name="_Toc48138837"/>
      <w:bookmarkStart w:id="1013" w:name="_Toc48138915"/>
      <w:bookmarkStart w:id="1014" w:name="_Toc52264519"/>
      <w:bookmarkStart w:id="1015" w:name="_Toc32865102"/>
      <w:bookmarkStart w:id="1016" w:name="_Toc38352798"/>
      <w:bookmarkStart w:id="1017" w:name="_Toc63348869"/>
      <w:bookmarkStart w:id="1018" w:name="_Toc48210383"/>
      <w:bookmarkStart w:id="1019" w:name="_Toc38358424"/>
      <w:bookmarkStart w:id="1020" w:name="_Toc67330613"/>
      <w:bookmarkStart w:id="1021" w:name="_Toc207111741"/>
      <w:r>
        <w:rPr>
          <w:rFonts w:hint="eastAsia"/>
        </w:rPr>
        <w:t>C.</w:t>
      </w:r>
      <w:r>
        <w:t xml:space="preserve">3 </w:t>
      </w:r>
      <w:bookmarkEnd w:id="924"/>
      <w:bookmarkEnd w:id="925"/>
      <w:bookmarkEnd w:id="926"/>
      <w:bookmarkEnd w:id="927"/>
      <w:bookmarkEnd w:id="928"/>
      <w:bookmarkEnd w:id="929"/>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r>
        <w:rPr>
          <w:rFonts w:hint="eastAsia"/>
        </w:rPr>
        <w:t>土-木结构农房加固设计</w:t>
      </w:r>
      <w:bookmarkEnd w:id="1021"/>
    </w:p>
    <w:p w14:paraId="2E5CF227">
      <w:pPr>
        <w:pStyle w:val="3"/>
      </w:pPr>
      <w:bookmarkStart w:id="1022" w:name="_Toc207111742"/>
      <w:r>
        <w:rPr>
          <w:rFonts w:hint="eastAsia"/>
        </w:rPr>
        <w:t>Ⅰ 围护墙体加固</w:t>
      </w:r>
      <w:bookmarkEnd w:id="1022"/>
    </w:p>
    <w:p w14:paraId="2F0838AA">
      <w:pPr>
        <w:pStyle w:val="4"/>
      </w:pPr>
      <w:bookmarkStart w:id="1023" w:name="_Toc19545308"/>
      <w:bookmarkStart w:id="1024" w:name="_Toc25070425"/>
      <w:bookmarkStart w:id="1025" w:name="_Toc25690700"/>
      <w:bookmarkStart w:id="1026" w:name="_Toc25070727"/>
      <w:bookmarkStart w:id="1027" w:name="_Toc10207255"/>
      <w:bookmarkStart w:id="1028" w:name="_Toc19545578"/>
      <w:bookmarkStart w:id="1029" w:name="_Toc9927735"/>
      <w:bookmarkStart w:id="1030" w:name="_Toc25690971"/>
      <w:bookmarkStart w:id="1031" w:name="_Toc7976169"/>
      <w:r>
        <w:rPr>
          <w:rFonts w:hint="eastAsia"/>
          <w:b/>
        </w:rPr>
        <w:t>C.</w:t>
      </w:r>
      <w:r>
        <w:rPr>
          <w:b/>
        </w:rPr>
        <w:t xml:space="preserve">3.1  </w:t>
      </w:r>
      <w:bookmarkEnd w:id="1023"/>
      <w:bookmarkEnd w:id="1024"/>
      <w:bookmarkEnd w:id="1025"/>
      <w:bookmarkEnd w:id="1026"/>
      <w:bookmarkEnd w:id="1027"/>
      <w:bookmarkEnd w:id="1028"/>
      <w:bookmarkEnd w:id="1029"/>
      <w:bookmarkEnd w:id="1030"/>
      <w:bookmarkEnd w:id="1031"/>
      <w:r>
        <w:rPr>
          <w:rFonts w:hint="eastAsia"/>
        </w:rPr>
        <w:t>采用高延性混凝土条带加固土</w:t>
      </w:r>
      <w:r>
        <w:t>-</w:t>
      </w:r>
      <w:r>
        <w:rPr>
          <w:rFonts w:hint="eastAsia"/>
        </w:rPr>
        <w:t>木结构农房加固农村房屋，应同时设置竖向和水平条带。在墙体拐角处及水平和竖向条带相交处应连续施工，严禁留施工冷缝。</w:t>
      </w:r>
    </w:p>
    <w:p w14:paraId="69729BA3">
      <w:pPr>
        <w:pStyle w:val="4"/>
      </w:pPr>
      <w:bookmarkStart w:id="1032" w:name="_Toc19545309"/>
      <w:bookmarkStart w:id="1033" w:name="_Toc10207257"/>
      <w:bookmarkStart w:id="1034" w:name="_Toc9927736"/>
      <w:bookmarkStart w:id="1035" w:name="_Toc19545579"/>
      <w:bookmarkStart w:id="1036" w:name="_Toc25070426"/>
      <w:bookmarkStart w:id="1037" w:name="_Toc25690972"/>
      <w:bookmarkStart w:id="1038" w:name="_Toc25070728"/>
      <w:bookmarkStart w:id="1039" w:name="_Toc7976170"/>
      <w:bookmarkStart w:id="1040" w:name="_Toc25690701"/>
      <w:r>
        <w:rPr>
          <w:rFonts w:hint="eastAsia"/>
          <w:b/>
        </w:rPr>
        <w:t>C.</w:t>
      </w:r>
      <w:r>
        <w:rPr>
          <w:b/>
        </w:rPr>
        <w:t xml:space="preserve">3.2 </w:t>
      </w:r>
      <w:r>
        <w:t xml:space="preserve"> 高延性混凝土加固砌体结构农村房屋的条带最小宽度和最小厚度可按表</w:t>
      </w:r>
      <w:r>
        <w:rPr>
          <w:rFonts w:hint="eastAsia"/>
        </w:rPr>
        <w:t>C.</w:t>
      </w:r>
      <w:r>
        <w:t>3.2取值。</w:t>
      </w:r>
      <w:bookmarkEnd w:id="1032"/>
      <w:bookmarkEnd w:id="1033"/>
      <w:bookmarkEnd w:id="1034"/>
      <w:bookmarkEnd w:id="1035"/>
      <w:bookmarkEnd w:id="1036"/>
      <w:bookmarkEnd w:id="1037"/>
      <w:bookmarkEnd w:id="1038"/>
      <w:bookmarkEnd w:id="1039"/>
      <w:bookmarkEnd w:id="1040"/>
      <w:r>
        <w:rPr>
          <w:rFonts w:hint="eastAsia"/>
        </w:rPr>
        <w:t>当墙体采用高延性混凝土面层加固时，面层厚度可参照</w:t>
      </w:r>
      <w:r>
        <w:t>表</w:t>
      </w:r>
      <w:r>
        <w:rPr>
          <w:rFonts w:hint="eastAsia"/>
        </w:rPr>
        <w:t>C.</w:t>
      </w:r>
      <w:r>
        <w:t>3.2</w:t>
      </w:r>
      <w:r>
        <w:rPr>
          <w:rFonts w:hint="eastAsia"/>
        </w:rPr>
        <w:t>中条带厚度取值</w:t>
      </w:r>
      <w:r>
        <w:t>。</w:t>
      </w:r>
    </w:p>
    <w:p w14:paraId="6CC999CC">
      <w:pPr>
        <w:pStyle w:val="56"/>
      </w:pPr>
      <w:r>
        <w:t>表</w:t>
      </w:r>
      <w:r>
        <w:rPr>
          <w:rFonts w:hint="eastAsia"/>
        </w:rPr>
        <w:t>C.</w:t>
      </w:r>
      <w:r>
        <w:t>3.2 高延性混凝土条带最小厚度和最小宽度</w:t>
      </w:r>
    </w:p>
    <w:tbl>
      <w:tblPr>
        <w:tblStyle w:val="28"/>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949"/>
        <w:gridCol w:w="827"/>
        <w:gridCol w:w="2188"/>
        <w:gridCol w:w="2188"/>
      </w:tblGrid>
      <w:tr w14:paraId="4DAB395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7" w:hRule="atLeast"/>
          <w:jc w:val="center"/>
        </w:trPr>
        <w:tc>
          <w:tcPr>
            <w:tcW w:w="2316" w:type="pct"/>
            <w:gridSpan w:val="2"/>
            <w:vAlign w:val="center"/>
          </w:tcPr>
          <w:p w14:paraId="0D1E224B">
            <w:pPr>
              <w:pStyle w:val="55"/>
              <w:spacing w:before="31" w:after="31"/>
            </w:pPr>
            <w:r>
              <w:t>设防烈度（条带厚度）</w:t>
            </w:r>
          </w:p>
        </w:tc>
        <w:tc>
          <w:tcPr>
            <w:tcW w:w="1342" w:type="pct"/>
            <w:vAlign w:val="center"/>
          </w:tcPr>
          <w:p w14:paraId="6DC9C402">
            <w:pPr>
              <w:pStyle w:val="55"/>
              <w:spacing w:before="31" w:after="31"/>
            </w:pPr>
            <w:r>
              <w:t>7度（30mm）</w:t>
            </w:r>
          </w:p>
        </w:tc>
        <w:tc>
          <w:tcPr>
            <w:tcW w:w="1342" w:type="pct"/>
            <w:vAlign w:val="center"/>
          </w:tcPr>
          <w:p w14:paraId="70718293">
            <w:pPr>
              <w:pStyle w:val="55"/>
              <w:spacing w:before="31" w:after="31"/>
            </w:pPr>
            <w:r>
              <w:t>8度（3</w:t>
            </w:r>
            <w:r>
              <w:rPr>
                <w:rFonts w:hint="eastAsia"/>
              </w:rPr>
              <w:t>5</w:t>
            </w:r>
            <w:r>
              <w:t>mm）</w:t>
            </w:r>
          </w:p>
        </w:tc>
      </w:tr>
      <w:tr w14:paraId="65DD201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51" w:hRule="atLeast"/>
          <w:jc w:val="center"/>
        </w:trPr>
        <w:tc>
          <w:tcPr>
            <w:tcW w:w="1809" w:type="pct"/>
            <w:vMerge w:val="restart"/>
            <w:vAlign w:val="center"/>
          </w:tcPr>
          <w:p w14:paraId="3CC47748">
            <w:pPr>
              <w:pStyle w:val="55"/>
              <w:spacing w:before="31" w:after="31"/>
            </w:pPr>
            <w:r>
              <w:rPr>
                <w:rFonts w:hint="eastAsia"/>
              </w:rPr>
              <w:t>竖向</w:t>
            </w:r>
            <w:r>
              <w:t>条带宽度（mm）</w:t>
            </w:r>
          </w:p>
        </w:tc>
        <w:tc>
          <w:tcPr>
            <w:tcW w:w="507" w:type="pct"/>
            <w:vAlign w:val="center"/>
          </w:tcPr>
          <w:p w14:paraId="5820DE78">
            <w:pPr>
              <w:pStyle w:val="55"/>
              <w:spacing w:before="31" w:after="31"/>
            </w:pPr>
            <w:r>
              <w:t>a</w:t>
            </w:r>
          </w:p>
        </w:tc>
        <w:tc>
          <w:tcPr>
            <w:tcW w:w="2684" w:type="pct"/>
            <w:gridSpan w:val="2"/>
            <w:vAlign w:val="center"/>
          </w:tcPr>
          <w:p w14:paraId="661F9D29">
            <w:pPr>
              <w:pStyle w:val="55"/>
              <w:spacing w:before="31" w:after="31"/>
            </w:pPr>
            <w:r>
              <w:t>1000</w:t>
            </w:r>
          </w:p>
        </w:tc>
      </w:tr>
      <w:tr w14:paraId="2FBF4D8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1809" w:type="pct"/>
            <w:vMerge w:val="continue"/>
            <w:vAlign w:val="center"/>
          </w:tcPr>
          <w:p w14:paraId="6F262EE8">
            <w:pPr>
              <w:pStyle w:val="55"/>
              <w:spacing w:before="31" w:after="31"/>
            </w:pPr>
          </w:p>
        </w:tc>
        <w:tc>
          <w:tcPr>
            <w:tcW w:w="507" w:type="pct"/>
            <w:vAlign w:val="center"/>
          </w:tcPr>
          <w:p w14:paraId="26E27ED5">
            <w:pPr>
              <w:pStyle w:val="55"/>
              <w:spacing w:before="31" w:after="31"/>
            </w:pPr>
            <w:r>
              <w:t>b</w:t>
            </w:r>
          </w:p>
        </w:tc>
        <w:tc>
          <w:tcPr>
            <w:tcW w:w="2684" w:type="pct"/>
            <w:gridSpan w:val="2"/>
            <w:vAlign w:val="center"/>
          </w:tcPr>
          <w:p w14:paraId="7A0F15AB">
            <w:pPr>
              <w:pStyle w:val="55"/>
              <w:spacing w:before="31" w:after="31"/>
            </w:pPr>
            <w:r>
              <w:t>800</w:t>
            </w:r>
          </w:p>
        </w:tc>
      </w:tr>
      <w:tr w14:paraId="3DB5B85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3" w:hRule="atLeast"/>
          <w:jc w:val="center"/>
        </w:trPr>
        <w:tc>
          <w:tcPr>
            <w:tcW w:w="1809" w:type="pct"/>
            <w:vAlign w:val="center"/>
          </w:tcPr>
          <w:p w14:paraId="590E69E5">
            <w:pPr>
              <w:pStyle w:val="55"/>
              <w:spacing w:before="31" w:after="31"/>
            </w:pPr>
            <w:r>
              <w:t>水平条带宽度（mm）</w:t>
            </w:r>
          </w:p>
        </w:tc>
        <w:tc>
          <w:tcPr>
            <w:tcW w:w="507" w:type="pct"/>
            <w:vAlign w:val="center"/>
          </w:tcPr>
          <w:p w14:paraId="190149F7">
            <w:pPr>
              <w:pStyle w:val="55"/>
              <w:spacing w:before="31" w:after="31"/>
            </w:pPr>
            <w:r>
              <w:t>c</w:t>
            </w:r>
          </w:p>
        </w:tc>
        <w:tc>
          <w:tcPr>
            <w:tcW w:w="2684" w:type="pct"/>
            <w:gridSpan w:val="2"/>
            <w:vAlign w:val="center"/>
          </w:tcPr>
          <w:p w14:paraId="252CAB56">
            <w:pPr>
              <w:pStyle w:val="55"/>
              <w:spacing w:before="31" w:after="31"/>
            </w:pPr>
            <w:r>
              <w:t>800</w:t>
            </w:r>
          </w:p>
        </w:tc>
      </w:tr>
    </w:tbl>
    <w:p w14:paraId="7F6DC0FC">
      <w:pPr>
        <w:pStyle w:val="57"/>
      </w:pPr>
      <w:r>
        <w:t>注：表中a表示外墙拐角处高延性混凝土竖向条带宽度；b表示外墙中部高延性混凝土竖向条带宽度；c表示楼（屋）盖处或墙顶高延性混凝土条带宽度。</w:t>
      </w:r>
    </w:p>
    <w:p w14:paraId="4895BF69">
      <w:pPr>
        <w:pStyle w:val="4"/>
      </w:pPr>
      <w:bookmarkStart w:id="1041" w:name="_Toc9927752"/>
      <w:bookmarkStart w:id="1042" w:name="_Toc25690717"/>
      <w:bookmarkStart w:id="1043" w:name="_Toc25070442"/>
      <w:bookmarkStart w:id="1044" w:name="_Toc25070744"/>
      <w:bookmarkStart w:id="1045" w:name="_Toc19545325"/>
      <w:bookmarkStart w:id="1046" w:name="_Toc7976186"/>
      <w:bookmarkStart w:id="1047" w:name="_Toc25690988"/>
      <w:bookmarkStart w:id="1048" w:name="_Toc19545595"/>
      <w:bookmarkStart w:id="1049" w:name="_Toc10207280"/>
      <w:r>
        <w:rPr>
          <w:rFonts w:hint="eastAsia"/>
          <w:b/>
        </w:rPr>
        <w:t>C.</w:t>
      </w:r>
      <w:r>
        <w:rPr>
          <w:b/>
        </w:rPr>
        <w:t>3.</w:t>
      </w:r>
      <w:r>
        <w:rPr>
          <w:rFonts w:hint="eastAsia"/>
          <w:b/>
        </w:rPr>
        <w:t>3</w:t>
      </w:r>
      <w:r>
        <w:t xml:space="preserve">  砌体墙的整体性很差或外墙开洞率大于50%时，应采用高延性混凝土面层对整片墙体进行加固，面层厚度可按表</w:t>
      </w:r>
      <w:r>
        <w:rPr>
          <w:rFonts w:hint="eastAsia"/>
        </w:rPr>
        <w:t>C.</w:t>
      </w:r>
      <w:r>
        <w:t>3.2取值。</w:t>
      </w:r>
      <w:bookmarkEnd w:id="1041"/>
      <w:bookmarkEnd w:id="1042"/>
      <w:bookmarkEnd w:id="1043"/>
      <w:bookmarkEnd w:id="1044"/>
      <w:bookmarkEnd w:id="1045"/>
      <w:bookmarkEnd w:id="1046"/>
      <w:bookmarkEnd w:id="1047"/>
      <w:bookmarkEnd w:id="1048"/>
      <w:bookmarkEnd w:id="1049"/>
    </w:p>
    <w:p w14:paraId="5850B811">
      <w:pPr>
        <w:pStyle w:val="4"/>
      </w:pPr>
      <w:bookmarkStart w:id="1050" w:name="_Toc19545311"/>
      <w:bookmarkStart w:id="1051" w:name="_Toc25690703"/>
      <w:bookmarkStart w:id="1052" w:name="_Toc7976172"/>
      <w:bookmarkStart w:id="1053" w:name="_Toc25070730"/>
      <w:bookmarkStart w:id="1054" w:name="_Toc25070428"/>
      <w:bookmarkStart w:id="1055" w:name="_Toc19545581"/>
      <w:bookmarkStart w:id="1056" w:name="_Toc10207261"/>
      <w:bookmarkStart w:id="1057" w:name="_Toc25690974"/>
      <w:bookmarkStart w:id="1058" w:name="_Toc9927738"/>
      <w:r>
        <w:rPr>
          <w:rStyle w:val="40"/>
          <w:rFonts w:hint="eastAsia"/>
          <w:b/>
          <w:bCs/>
        </w:rPr>
        <w:t>C.</w:t>
      </w:r>
      <w:r>
        <w:rPr>
          <w:rStyle w:val="40"/>
          <w:b/>
          <w:bCs/>
        </w:rPr>
        <w:t xml:space="preserve">3.4  </w:t>
      </w:r>
      <w:r>
        <w:rPr>
          <w:rStyle w:val="40"/>
          <w:bCs w:val="0"/>
        </w:rPr>
        <w:t>高延性混凝</w:t>
      </w:r>
      <w:r>
        <w:t>土竖向条带设置应符合下列规定：</w:t>
      </w:r>
      <w:bookmarkEnd w:id="1050"/>
      <w:bookmarkEnd w:id="1051"/>
      <w:bookmarkEnd w:id="1052"/>
      <w:bookmarkEnd w:id="1053"/>
      <w:bookmarkEnd w:id="1054"/>
      <w:bookmarkEnd w:id="1055"/>
      <w:bookmarkEnd w:id="1056"/>
      <w:bookmarkEnd w:id="1057"/>
      <w:bookmarkEnd w:id="1058"/>
    </w:p>
    <w:p w14:paraId="15605733">
      <w:pPr>
        <w:ind w:firstLine="422"/>
      </w:pPr>
      <w:bookmarkStart w:id="1059" w:name="_Toc7976173"/>
      <w:bookmarkStart w:id="1060" w:name="_Toc9927739"/>
      <w:bookmarkStart w:id="1061" w:name="_Toc10207262"/>
      <w:bookmarkStart w:id="1062" w:name="_Toc25690704"/>
      <w:bookmarkStart w:id="1063" w:name="_Toc25690975"/>
      <w:bookmarkStart w:id="1064" w:name="_Toc25070429"/>
      <w:bookmarkStart w:id="1065" w:name="_Toc25070731"/>
      <w:bookmarkStart w:id="1066" w:name="_Toc19545582"/>
      <w:bookmarkStart w:id="1067" w:name="_Toc19545312"/>
      <w:r>
        <w:rPr>
          <w:b/>
        </w:rPr>
        <w:t xml:space="preserve">1 </w:t>
      </w:r>
      <w:r>
        <w:t xml:space="preserve"> </w:t>
      </w:r>
      <w:r>
        <w:rPr>
          <w:rFonts w:hint="eastAsia"/>
        </w:rPr>
        <w:t>房屋外墙拐角处、长墙中部、纵横墙交接处、窗间墙以及一字形外墙端部均应设置高延性混凝土竖向条带。当房屋纵横墙咬茬较弱，或纵横墙为不同材料砌筑时，尚应在房屋内部纵横墙交接处设置竖向条带（</w:t>
      </w:r>
      <w:r>
        <w:t>（图</w:t>
      </w:r>
      <w:r>
        <w:rPr>
          <w:rFonts w:hint="eastAsia"/>
        </w:rPr>
        <w:t>C.</w:t>
      </w:r>
      <w:r>
        <w:t>3.4-1）</w:t>
      </w:r>
      <w:bookmarkEnd w:id="1059"/>
      <w:bookmarkEnd w:id="1060"/>
      <w:bookmarkEnd w:id="1061"/>
      <w:r>
        <w:t>；</w:t>
      </w:r>
      <w:bookmarkEnd w:id="1062"/>
      <w:bookmarkEnd w:id="1063"/>
      <w:bookmarkEnd w:id="1064"/>
      <w:bookmarkEnd w:id="1065"/>
      <w:bookmarkEnd w:id="1066"/>
      <w:bookmarkEnd w:id="1067"/>
    </w:p>
    <w:p w14:paraId="70EDA685">
      <w:pPr>
        <w:pStyle w:val="55"/>
        <w:spacing w:before="31" w:after="31"/>
      </w:pPr>
      <w:r>
        <w:rPr>
          <w:rFonts w:hint="eastAsia"/>
        </w:rPr>
        <w:drawing>
          <wp:inline distT="0" distB="0" distL="0" distR="0">
            <wp:extent cx="3567430" cy="3038475"/>
            <wp:effectExtent l="0" t="0" r="0" b="9525"/>
            <wp:docPr id="184"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308"/>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a:xfrm>
                      <a:off x="0" y="0"/>
                      <a:ext cx="3572238" cy="3042644"/>
                    </a:xfrm>
                    <a:prstGeom prst="rect">
                      <a:avLst/>
                    </a:prstGeom>
                    <a:noFill/>
                    <a:ln>
                      <a:noFill/>
                    </a:ln>
                  </pic:spPr>
                </pic:pic>
              </a:graphicData>
            </a:graphic>
          </wp:inline>
        </w:drawing>
      </w:r>
    </w:p>
    <w:p w14:paraId="681A1D0C">
      <w:pPr>
        <w:pStyle w:val="55"/>
        <w:spacing w:before="31" w:after="31"/>
        <w:rPr>
          <w:szCs w:val="21"/>
        </w:rPr>
      </w:pPr>
      <w:r>
        <w:rPr>
          <w:szCs w:val="21"/>
        </w:rPr>
        <w:t>图</w:t>
      </w:r>
      <w:r>
        <w:rPr>
          <w:rFonts w:hint="eastAsia"/>
          <w:szCs w:val="21"/>
        </w:rPr>
        <w:t>C.</w:t>
      </w:r>
      <w:r>
        <w:rPr>
          <w:szCs w:val="21"/>
        </w:rPr>
        <w:t>3.4-1 高延性混凝土竖向条带设置平面示意图</w:t>
      </w:r>
    </w:p>
    <w:p w14:paraId="283AC926">
      <w:pPr>
        <w:ind w:firstLine="422"/>
      </w:pPr>
      <w:bookmarkStart w:id="1068" w:name="_Toc10207263"/>
      <w:bookmarkStart w:id="1069" w:name="_Toc9927740"/>
      <w:bookmarkStart w:id="1070" w:name="_Toc7976174"/>
      <w:bookmarkStart w:id="1071" w:name="_Toc19545313"/>
      <w:bookmarkStart w:id="1072" w:name="_Toc25070732"/>
      <w:bookmarkStart w:id="1073" w:name="_Toc25070430"/>
      <w:bookmarkStart w:id="1074" w:name="_Toc19545583"/>
      <w:bookmarkStart w:id="1075" w:name="_Toc25690705"/>
      <w:bookmarkStart w:id="1076" w:name="_Toc25690976"/>
      <w:r>
        <w:rPr>
          <w:rFonts w:hint="eastAsia"/>
          <w:b/>
        </w:rPr>
        <w:t>2</w:t>
      </w:r>
      <w:r>
        <w:rPr>
          <w:b/>
        </w:rPr>
        <w:t xml:space="preserve"> </w:t>
      </w:r>
      <w:r>
        <w:t xml:space="preserve"> </w:t>
      </w:r>
      <w:r>
        <w:rPr>
          <w:rFonts w:hint="eastAsia"/>
        </w:rPr>
        <w:t>当高延性混凝土竖向条带净间距不应大于5m，当竖向条带净间距不满足时，应增加竖向条带宽度或数量。</w:t>
      </w:r>
    </w:p>
    <w:p w14:paraId="4CD94261">
      <w:pPr>
        <w:ind w:firstLine="422"/>
      </w:pPr>
      <w:r>
        <w:rPr>
          <w:rFonts w:hint="eastAsia"/>
          <w:b/>
        </w:rPr>
        <w:t>3</w:t>
      </w:r>
      <w:r>
        <w:rPr>
          <w:b/>
        </w:rPr>
        <w:t xml:space="preserve"> </w:t>
      </w:r>
      <w:r>
        <w:t xml:space="preserve"> 外墙拐角距门窗洞口边的距离小于竖向条带宽度a时，应将高延性混凝土包至洞口处门（窗）框边（图</w:t>
      </w:r>
      <w:r>
        <w:rPr>
          <w:rFonts w:hint="eastAsia"/>
        </w:rPr>
        <w:t>C.</w:t>
      </w:r>
      <w:r>
        <w:t>3.4-2）。门（窗）框与外墙外平齐时，应在门（窗）框边的墙体上竖向刻槽并用高延性混凝土压抹填实，刻槽的宽度和深度</w:t>
      </w:r>
      <w:r>
        <w:rPr>
          <w:rFonts w:hint="eastAsia"/>
        </w:rPr>
        <w:t>可为</w:t>
      </w:r>
      <w:r>
        <w:t>20mm</w:t>
      </w:r>
      <w:bookmarkEnd w:id="1068"/>
      <w:bookmarkEnd w:id="1069"/>
      <w:bookmarkEnd w:id="1070"/>
      <w:r>
        <w:t>；</w:t>
      </w:r>
      <w:bookmarkEnd w:id="1071"/>
      <w:bookmarkEnd w:id="1072"/>
      <w:bookmarkEnd w:id="1073"/>
      <w:bookmarkEnd w:id="1074"/>
      <w:bookmarkEnd w:id="1075"/>
      <w:bookmarkEnd w:id="1076"/>
    </w:p>
    <w:tbl>
      <w:tblPr>
        <w:tblStyle w:val="28"/>
        <w:tblW w:w="0" w:type="auto"/>
        <w:jc w:val="center"/>
        <w:tblLayout w:type="fixed"/>
        <w:tblCellMar>
          <w:top w:w="0" w:type="dxa"/>
          <w:left w:w="108" w:type="dxa"/>
          <w:bottom w:w="0" w:type="dxa"/>
          <w:right w:w="108" w:type="dxa"/>
        </w:tblCellMar>
      </w:tblPr>
      <w:tblGrid>
        <w:gridCol w:w="5988"/>
      </w:tblGrid>
      <w:tr w14:paraId="00AA26EE">
        <w:tblPrEx>
          <w:tblCellMar>
            <w:top w:w="0" w:type="dxa"/>
            <w:left w:w="108" w:type="dxa"/>
            <w:bottom w:w="0" w:type="dxa"/>
            <w:right w:w="108" w:type="dxa"/>
          </w:tblCellMar>
        </w:tblPrEx>
        <w:trPr>
          <w:jc w:val="center"/>
        </w:trPr>
        <w:tc>
          <w:tcPr>
            <w:tcW w:w="5988" w:type="dxa"/>
          </w:tcPr>
          <w:p w14:paraId="45D46817">
            <w:pPr>
              <w:pStyle w:val="55"/>
              <w:spacing w:before="31" w:after="31"/>
            </w:pPr>
            <w:r>
              <w:drawing>
                <wp:inline distT="0" distB="0" distL="0" distR="0">
                  <wp:extent cx="1910715" cy="1310640"/>
                  <wp:effectExtent l="0" t="0" r="0" b="3810"/>
                  <wp:docPr id="185"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328"/>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a:xfrm>
                            <a:off x="0" y="0"/>
                            <a:ext cx="1922565" cy="1319327"/>
                          </a:xfrm>
                          <a:prstGeom prst="rect">
                            <a:avLst/>
                          </a:prstGeom>
                          <a:noFill/>
                          <a:ln>
                            <a:noFill/>
                          </a:ln>
                        </pic:spPr>
                      </pic:pic>
                    </a:graphicData>
                  </a:graphic>
                </wp:inline>
              </w:drawing>
            </w:r>
          </w:p>
        </w:tc>
      </w:tr>
      <w:tr w14:paraId="2858BACD">
        <w:tblPrEx>
          <w:tblCellMar>
            <w:top w:w="0" w:type="dxa"/>
            <w:left w:w="108" w:type="dxa"/>
            <w:bottom w:w="0" w:type="dxa"/>
            <w:right w:w="108" w:type="dxa"/>
          </w:tblCellMar>
        </w:tblPrEx>
        <w:trPr>
          <w:jc w:val="center"/>
        </w:trPr>
        <w:tc>
          <w:tcPr>
            <w:tcW w:w="5988" w:type="dxa"/>
          </w:tcPr>
          <w:p w14:paraId="1AA43382">
            <w:pPr>
              <w:pStyle w:val="55"/>
              <w:spacing w:before="31" w:after="31"/>
              <w:rPr>
                <w:szCs w:val="21"/>
              </w:rPr>
            </w:pPr>
            <w:r>
              <w:rPr>
                <w:szCs w:val="21"/>
              </w:rPr>
              <w:t>（a）门、窗框不与外墙平齐时</w:t>
            </w:r>
          </w:p>
        </w:tc>
      </w:tr>
      <w:tr w14:paraId="635A77EA">
        <w:tblPrEx>
          <w:tblCellMar>
            <w:top w:w="0" w:type="dxa"/>
            <w:left w:w="108" w:type="dxa"/>
            <w:bottom w:w="0" w:type="dxa"/>
            <w:right w:w="108" w:type="dxa"/>
          </w:tblCellMar>
        </w:tblPrEx>
        <w:trPr>
          <w:jc w:val="center"/>
        </w:trPr>
        <w:tc>
          <w:tcPr>
            <w:tcW w:w="5988" w:type="dxa"/>
          </w:tcPr>
          <w:p w14:paraId="6F030EC4">
            <w:pPr>
              <w:pStyle w:val="55"/>
              <w:spacing w:before="31" w:after="31"/>
            </w:pPr>
            <w:r>
              <w:drawing>
                <wp:inline distT="0" distB="0" distL="0" distR="0">
                  <wp:extent cx="1872615" cy="1285240"/>
                  <wp:effectExtent l="0" t="0" r="0" b="0"/>
                  <wp:docPr id="186"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329"/>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a:xfrm>
                            <a:off x="0" y="0"/>
                            <a:ext cx="1879461" cy="1289747"/>
                          </a:xfrm>
                          <a:prstGeom prst="rect">
                            <a:avLst/>
                          </a:prstGeom>
                          <a:noFill/>
                          <a:ln>
                            <a:noFill/>
                          </a:ln>
                        </pic:spPr>
                      </pic:pic>
                    </a:graphicData>
                  </a:graphic>
                </wp:inline>
              </w:drawing>
            </w:r>
          </w:p>
        </w:tc>
      </w:tr>
      <w:tr w14:paraId="2F5BAEAD">
        <w:tblPrEx>
          <w:tblCellMar>
            <w:top w:w="0" w:type="dxa"/>
            <w:left w:w="108" w:type="dxa"/>
            <w:bottom w:w="0" w:type="dxa"/>
            <w:right w:w="108" w:type="dxa"/>
          </w:tblCellMar>
        </w:tblPrEx>
        <w:trPr>
          <w:jc w:val="center"/>
        </w:trPr>
        <w:tc>
          <w:tcPr>
            <w:tcW w:w="5988" w:type="dxa"/>
          </w:tcPr>
          <w:p w14:paraId="20B7343C">
            <w:pPr>
              <w:pStyle w:val="55"/>
              <w:spacing w:before="31" w:after="31"/>
              <w:rPr>
                <w:szCs w:val="21"/>
              </w:rPr>
            </w:pPr>
            <w:r>
              <w:rPr>
                <w:szCs w:val="21"/>
              </w:rPr>
              <w:t>（b）门、窗框与外墙外平齐时</w:t>
            </w:r>
          </w:p>
        </w:tc>
      </w:tr>
    </w:tbl>
    <w:p w14:paraId="6B48E442">
      <w:pPr>
        <w:pStyle w:val="55"/>
        <w:spacing w:before="31" w:after="31"/>
        <w:rPr>
          <w:szCs w:val="21"/>
        </w:rPr>
      </w:pPr>
      <w:r>
        <w:rPr>
          <w:szCs w:val="21"/>
        </w:rPr>
        <w:t>图</w:t>
      </w:r>
      <w:r>
        <w:rPr>
          <w:rFonts w:hint="eastAsia"/>
          <w:szCs w:val="21"/>
        </w:rPr>
        <w:t>C.</w:t>
      </w:r>
      <w:r>
        <w:rPr>
          <w:szCs w:val="21"/>
        </w:rPr>
        <w:t>3.4-2 外墙阳角距洞口边距离小于a时竖向条带布置示意图</w:t>
      </w:r>
    </w:p>
    <w:p w14:paraId="6669A7C4">
      <w:pPr>
        <w:pStyle w:val="55"/>
        <w:spacing w:before="31" w:after="31"/>
        <w:rPr>
          <w:szCs w:val="21"/>
        </w:rPr>
      </w:pPr>
      <w:r>
        <w:rPr>
          <w:szCs w:val="21"/>
        </w:rPr>
        <w:t>1</w:t>
      </w:r>
      <w:r>
        <w:rPr>
          <w:rFonts w:hint="eastAsia"/>
          <w:szCs w:val="21"/>
        </w:rPr>
        <w:t>-门窗洞口；</w:t>
      </w:r>
      <w:r>
        <w:rPr>
          <w:szCs w:val="21"/>
        </w:rPr>
        <w:t>2</w:t>
      </w:r>
      <w:r>
        <w:rPr>
          <w:rFonts w:hint="eastAsia"/>
          <w:szCs w:val="21"/>
        </w:rPr>
        <w:t>-高延性混凝土竖向条带</w:t>
      </w:r>
    </w:p>
    <w:p w14:paraId="7E560AB4">
      <w:pPr>
        <w:ind w:firstLine="422"/>
      </w:pPr>
      <w:bookmarkStart w:id="1077" w:name="_Toc9927741"/>
      <w:bookmarkStart w:id="1078" w:name="_Toc10207265"/>
      <w:bookmarkStart w:id="1079" w:name="_Toc7976175"/>
      <w:bookmarkStart w:id="1080" w:name="_Toc19545584"/>
      <w:bookmarkStart w:id="1081" w:name="_Toc19545314"/>
      <w:bookmarkStart w:id="1082" w:name="_Toc25070733"/>
      <w:bookmarkStart w:id="1083" w:name="_Toc25690706"/>
      <w:bookmarkStart w:id="1084" w:name="_Toc25690977"/>
      <w:bookmarkStart w:id="1085" w:name="_Toc25070431"/>
      <w:r>
        <w:rPr>
          <w:rFonts w:hint="eastAsia"/>
          <w:b/>
        </w:rPr>
        <w:t>4</w:t>
      </w:r>
      <w:r>
        <w:t xml:space="preserve">  高延性混凝土竖向条带边沿距洞口边距离不大于200mm时，宜将高延性混凝土条带延伸至洞口边沿，并将高延性混凝土包至门（窗）框边（图</w:t>
      </w:r>
      <w:r>
        <w:rPr>
          <w:rFonts w:hint="eastAsia"/>
        </w:rPr>
        <w:t>C.</w:t>
      </w:r>
      <w:r>
        <w:t>3.4-3）</w:t>
      </w:r>
      <w:bookmarkEnd w:id="1077"/>
      <w:bookmarkEnd w:id="1078"/>
      <w:bookmarkEnd w:id="1079"/>
      <w:r>
        <w:t>；</w:t>
      </w:r>
      <w:bookmarkEnd w:id="1080"/>
      <w:bookmarkEnd w:id="1081"/>
      <w:bookmarkEnd w:id="1082"/>
      <w:bookmarkEnd w:id="1083"/>
      <w:bookmarkEnd w:id="1084"/>
      <w:bookmarkEnd w:id="1085"/>
    </w:p>
    <w:p w14:paraId="45E588F0">
      <w:pPr>
        <w:pStyle w:val="55"/>
        <w:spacing w:before="31" w:after="31"/>
      </w:pPr>
      <w:r>
        <w:drawing>
          <wp:inline distT="0" distB="0" distL="0" distR="0">
            <wp:extent cx="1892300" cy="652145"/>
            <wp:effectExtent l="0" t="0" r="0" b="0"/>
            <wp:docPr id="18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327"/>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a:xfrm>
                      <a:off x="0" y="0"/>
                      <a:ext cx="1892300" cy="652145"/>
                    </a:xfrm>
                    <a:prstGeom prst="rect">
                      <a:avLst/>
                    </a:prstGeom>
                    <a:noFill/>
                    <a:ln>
                      <a:noFill/>
                    </a:ln>
                  </pic:spPr>
                </pic:pic>
              </a:graphicData>
            </a:graphic>
          </wp:inline>
        </w:drawing>
      </w:r>
    </w:p>
    <w:p w14:paraId="11C3283F">
      <w:pPr>
        <w:pStyle w:val="55"/>
        <w:spacing w:before="31" w:after="31"/>
        <w:rPr>
          <w:szCs w:val="21"/>
        </w:rPr>
      </w:pPr>
      <w:r>
        <w:rPr>
          <w:szCs w:val="21"/>
        </w:rPr>
        <w:t>图</w:t>
      </w:r>
      <w:r>
        <w:rPr>
          <w:rFonts w:hint="eastAsia"/>
          <w:szCs w:val="21"/>
        </w:rPr>
        <w:t>C.</w:t>
      </w:r>
      <w:r>
        <w:rPr>
          <w:szCs w:val="21"/>
        </w:rPr>
        <w:t>3.4-3 窗间墙加固平面示意图</w:t>
      </w:r>
    </w:p>
    <w:p w14:paraId="06EBB030">
      <w:pPr>
        <w:pStyle w:val="55"/>
        <w:spacing w:before="31" w:after="31"/>
        <w:rPr>
          <w:szCs w:val="21"/>
        </w:rPr>
      </w:pPr>
      <w:bookmarkStart w:id="1086" w:name="_Toc9927742"/>
      <w:bookmarkStart w:id="1087" w:name="_Toc7976176"/>
      <w:bookmarkStart w:id="1088" w:name="_Toc10207266"/>
      <w:bookmarkStart w:id="1089" w:name="_Toc25690978"/>
      <w:bookmarkStart w:id="1090" w:name="_Toc25690707"/>
      <w:bookmarkStart w:id="1091" w:name="_Toc25070734"/>
      <w:bookmarkStart w:id="1092" w:name="_Toc19545315"/>
      <w:bookmarkStart w:id="1093" w:name="_Toc25070432"/>
      <w:bookmarkStart w:id="1094" w:name="_Toc19545585"/>
      <w:r>
        <w:rPr>
          <w:szCs w:val="21"/>
        </w:rPr>
        <w:t>1-</w:t>
      </w:r>
      <w:r>
        <w:rPr>
          <w:rFonts w:hint="eastAsia"/>
          <w:szCs w:val="21"/>
        </w:rPr>
        <w:t>门窗洞口；</w:t>
      </w:r>
      <w:r>
        <w:rPr>
          <w:szCs w:val="21"/>
        </w:rPr>
        <w:t>2-</w:t>
      </w:r>
      <w:r>
        <w:rPr>
          <w:rFonts w:hint="eastAsia"/>
          <w:szCs w:val="21"/>
        </w:rPr>
        <w:t>高延性混凝土竖向条带</w:t>
      </w:r>
    </w:p>
    <w:p w14:paraId="1AD2D6DD">
      <w:pPr>
        <w:ind w:firstLine="422"/>
      </w:pPr>
      <w:r>
        <w:rPr>
          <w:rFonts w:hint="eastAsia"/>
          <w:b/>
        </w:rPr>
        <w:t>5</w:t>
      </w:r>
      <w:r>
        <w:rPr>
          <w:b/>
        </w:rPr>
        <w:t xml:space="preserve">  </w:t>
      </w:r>
      <w:r>
        <w:t>一字墙端部应采用高延性混凝土竖向条带加固，条带宽度不小于b，高延性混凝土应包至墙端，且竖向条带应双面布置（图</w:t>
      </w:r>
      <w:r>
        <w:rPr>
          <w:rFonts w:hint="eastAsia"/>
        </w:rPr>
        <w:t>C.</w:t>
      </w:r>
      <w:r>
        <w:t>3.4-4）</w:t>
      </w:r>
      <w:bookmarkEnd w:id="1086"/>
      <w:bookmarkEnd w:id="1087"/>
      <w:bookmarkEnd w:id="1088"/>
      <w:r>
        <w:t>；</w:t>
      </w:r>
      <w:bookmarkEnd w:id="1089"/>
      <w:bookmarkEnd w:id="1090"/>
      <w:bookmarkEnd w:id="1091"/>
      <w:bookmarkEnd w:id="1092"/>
      <w:bookmarkEnd w:id="1093"/>
      <w:bookmarkEnd w:id="1094"/>
    </w:p>
    <w:p w14:paraId="2589A352">
      <w:pPr>
        <w:pStyle w:val="55"/>
        <w:spacing w:before="31" w:after="31"/>
      </w:pPr>
      <w:r>
        <w:drawing>
          <wp:inline distT="0" distB="0" distL="0" distR="0">
            <wp:extent cx="744855" cy="931545"/>
            <wp:effectExtent l="0" t="0" r="0" b="1905"/>
            <wp:docPr id="188"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326"/>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a:xfrm>
                      <a:off x="0" y="0"/>
                      <a:ext cx="749488" cy="936859"/>
                    </a:xfrm>
                    <a:prstGeom prst="rect">
                      <a:avLst/>
                    </a:prstGeom>
                    <a:noFill/>
                    <a:ln>
                      <a:noFill/>
                    </a:ln>
                    <a:effectLst/>
                  </pic:spPr>
                </pic:pic>
              </a:graphicData>
            </a:graphic>
          </wp:inline>
        </w:drawing>
      </w:r>
    </w:p>
    <w:p w14:paraId="2C4B3BC2">
      <w:pPr>
        <w:pStyle w:val="55"/>
        <w:spacing w:before="31" w:after="31"/>
        <w:rPr>
          <w:szCs w:val="21"/>
        </w:rPr>
      </w:pPr>
      <w:r>
        <w:rPr>
          <w:szCs w:val="21"/>
        </w:rPr>
        <w:t>图</w:t>
      </w:r>
      <w:r>
        <w:rPr>
          <w:rFonts w:hint="eastAsia"/>
          <w:szCs w:val="21"/>
        </w:rPr>
        <w:t>C.</w:t>
      </w:r>
      <w:r>
        <w:rPr>
          <w:szCs w:val="21"/>
        </w:rPr>
        <w:t>3.4-4 一字墙端部加固平面示意图</w:t>
      </w:r>
    </w:p>
    <w:p w14:paraId="5D405971">
      <w:pPr>
        <w:pStyle w:val="55"/>
        <w:spacing w:before="31" w:after="31"/>
        <w:rPr>
          <w:szCs w:val="21"/>
        </w:rPr>
      </w:pPr>
      <w:r>
        <w:rPr>
          <w:szCs w:val="21"/>
        </w:rPr>
        <w:t>1-原墙体；2-高延性混凝土竖向条带</w:t>
      </w:r>
    </w:p>
    <w:p w14:paraId="0255B536">
      <w:pPr>
        <w:pStyle w:val="4"/>
      </w:pPr>
      <w:bookmarkStart w:id="1095" w:name="_Toc19545587"/>
      <w:bookmarkStart w:id="1096" w:name="_Toc10207270"/>
      <w:bookmarkStart w:id="1097" w:name="_Toc25690709"/>
      <w:bookmarkStart w:id="1098" w:name="_Toc19545317"/>
      <w:bookmarkStart w:id="1099" w:name="_Toc25690980"/>
      <w:bookmarkStart w:id="1100" w:name="_Toc9927744"/>
      <w:bookmarkStart w:id="1101" w:name="_Toc25070736"/>
      <w:bookmarkStart w:id="1102" w:name="_Toc7976178"/>
      <w:bookmarkStart w:id="1103" w:name="_Toc25070434"/>
      <w:r>
        <w:rPr>
          <w:rFonts w:hint="eastAsia"/>
          <w:b/>
        </w:rPr>
        <w:t>C.</w:t>
      </w:r>
      <w:r>
        <w:rPr>
          <w:b/>
        </w:rPr>
        <w:t xml:space="preserve">3.5 </w:t>
      </w:r>
      <w:r>
        <w:t xml:space="preserve"> 高延性混凝土水平条带设置应符合下列规定：</w:t>
      </w:r>
      <w:bookmarkEnd w:id="1095"/>
      <w:bookmarkEnd w:id="1096"/>
      <w:bookmarkEnd w:id="1097"/>
      <w:bookmarkEnd w:id="1098"/>
      <w:bookmarkEnd w:id="1099"/>
      <w:bookmarkEnd w:id="1100"/>
      <w:bookmarkEnd w:id="1101"/>
      <w:bookmarkEnd w:id="1102"/>
      <w:bookmarkEnd w:id="1103"/>
    </w:p>
    <w:p w14:paraId="2D15771D">
      <w:pPr>
        <w:ind w:firstLine="422"/>
      </w:pPr>
      <w:bookmarkStart w:id="1104" w:name="_Toc9927745"/>
      <w:bookmarkStart w:id="1105" w:name="_Toc7976179"/>
      <w:bookmarkStart w:id="1106" w:name="_Toc10207271"/>
      <w:bookmarkStart w:id="1107" w:name="_Toc25690981"/>
      <w:bookmarkStart w:id="1108" w:name="_Toc19545588"/>
      <w:bookmarkStart w:id="1109" w:name="_Toc19545318"/>
      <w:bookmarkStart w:id="1110" w:name="_Toc25070737"/>
      <w:bookmarkStart w:id="1111" w:name="_Toc25690710"/>
      <w:bookmarkStart w:id="1112" w:name="_Toc25070435"/>
      <w:r>
        <w:rPr>
          <w:b/>
        </w:rPr>
        <w:t xml:space="preserve">1 </w:t>
      </w:r>
      <w:r>
        <w:t xml:space="preserve"> 外墙楼（屋）盖处应设置高延性混凝土水平条带，山墙应沿墙顶设置高延性混凝土条带（图</w:t>
      </w:r>
      <w:r>
        <w:rPr>
          <w:rFonts w:hint="eastAsia"/>
        </w:rPr>
        <w:t>C.</w:t>
      </w:r>
      <w:r>
        <w:t>3.5-1、图</w:t>
      </w:r>
      <w:r>
        <w:rPr>
          <w:rFonts w:hint="eastAsia"/>
        </w:rPr>
        <w:t>C.</w:t>
      </w:r>
      <w:r>
        <w:t>3.5-2），且高延性混凝土水平条带宜闭合</w:t>
      </w:r>
      <w:bookmarkEnd w:id="1104"/>
      <w:bookmarkEnd w:id="1105"/>
      <w:bookmarkEnd w:id="1106"/>
      <w:r>
        <w:t>；</w:t>
      </w:r>
      <w:bookmarkEnd w:id="1107"/>
      <w:bookmarkEnd w:id="1108"/>
      <w:bookmarkEnd w:id="1109"/>
      <w:bookmarkEnd w:id="1110"/>
      <w:bookmarkEnd w:id="1111"/>
      <w:bookmarkEnd w:id="1112"/>
    </w:p>
    <w:tbl>
      <w:tblPr>
        <w:tblStyle w:val="28"/>
        <w:tblW w:w="0" w:type="auto"/>
        <w:jc w:val="center"/>
        <w:tblLayout w:type="fixed"/>
        <w:tblCellMar>
          <w:top w:w="0" w:type="dxa"/>
          <w:left w:w="108" w:type="dxa"/>
          <w:bottom w:w="0" w:type="dxa"/>
          <w:right w:w="108" w:type="dxa"/>
        </w:tblCellMar>
      </w:tblPr>
      <w:tblGrid>
        <w:gridCol w:w="5988"/>
      </w:tblGrid>
      <w:tr w14:paraId="05118957">
        <w:tblPrEx>
          <w:tblCellMar>
            <w:top w:w="0" w:type="dxa"/>
            <w:left w:w="108" w:type="dxa"/>
            <w:bottom w:w="0" w:type="dxa"/>
            <w:right w:w="108" w:type="dxa"/>
          </w:tblCellMar>
        </w:tblPrEx>
        <w:trPr>
          <w:jc w:val="center"/>
        </w:trPr>
        <w:tc>
          <w:tcPr>
            <w:tcW w:w="5988" w:type="dxa"/>
            <w:vAlign w:val="center"/>
          </w:tcPr>
          <w:p w14:paraId="2B876A9B">
            <w:pPr>
              <w:pStyle w:val="55"/>
              <w:spacing w:before="31" w:after="31"/>
              <w:rPr>
                <w:sz w:val="24"/>
                <w:szCs w:val="28"/>
              </w:rPr>
            </w:pPr>
            <w:r>
              <w:drawing>
                <wp:inline distT="0" distB="0" distL="114300" distR="114300">
                  <wp:extent cx="3066415" cy="1594485"/>
                  <wp:effectExtent l="0" t="0" r="635" b="5715"/>
                  <wp:docPr id="10725049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04964" name="图片 8"/>
                          <pic:cNvPicPr>
                            <a:picLocks noChangeAspect="1"/>
                          </pic:cNvPicPr>
                        </pic:nvPicPr>
                        <pic:blipFill>
                          <a:blip r:embed="rId492"/>
                          <a:stretch>
                            <a:fillRect/>
                          </a:stretch>
                        </pic:blipFill>
                        <pic:spPr>
                          <a:xfrm>
                            <a:off x="0" y="0"/>
                            <a:ext cx="3072621" cy="1597568"/>
                          </a:xfrm>
                          <a:prstGeom prst="rect">
                            <a:avLst/>
                          </a:prstGeom>
                          <a:noFill/>
                          <a:ln>
                            <a:noFill/>
                          </a:ln>
                        </pic:spPr>
                      </pic:pic>
                    </a:graphicData>
                  </a:graphic>
                </wp:inline>
              </w:drawing>
            </w:r>
          </w:p>
        </w:tc>
      </w:tr>
      <w:tr w14:paraId="67CEC367">
        <w:tblPrEx>
          <w:tblCellMar>
            <w:top w:w="0" w:type="dxa"/>
            <w:left w:w="108" w:type="dxa"/>
            <w:bottom w:w="0" w:type="dxa"/>
            <w:right w:w="108" w:type="dxa"/>
          </w:tblCellMar>
        </w:tblPrEx>
        <w:trPr>
          <w:jc w:val="center"/>
        </w:trPr>
        <w:tc>
          <w:tcPr>
            <w:tcW w:w="5988" w:type="dxa"/>
            <w:vAlign w:val="center"/>
          </w:tcPr>
          <w:p w14:paraId="0CCE7798">
            <w:pPr>
              <w:pStyle w:val="55"/>
              <w:spacing w:before="31" w:after="31"/>
              <w:rPr>
                <w:szCs w:val="21"/>
              </w:rPr>
            </w:pPr>
            <w:r>
              <w:rPr>
                <w:szCs w:val="21"/>
              </w:rPr>
              <w:t>（a）正立面</w:t>
            </w:r>
          </w:p>
        </w:tc>
      </w:tr>
      <w:tr w14:paraId="5169519F">
        <w:tblPrEx>
          <w:tblCellMar>
            <w:top w:w="0" w:type="dxa"/>
            <w:left w:w="108" w:type="dxa"/>
            <w:bottom w:w="0" w:type="dxa"/>
            <w:right w:w="108" w:type="dxa"/>
          </w:tblCellMar>
        </w:tblPrEx>
        <w:trPr>
          <w:jc w:val="center"/>
        </w:trPr>
        <w:tc>
          <w:tcPr>
            <w:tcW w:w="5988" w:type="dxa"/>
            <w:vAlign w:val="center"/>
          </w:tcPr>
          <w:p w14:paraId="022B47AC">
            <w:pPr>
              <w:pStyle w:val="55"/>
              <w:spacing w:before="31" w:after="31"/>
              <w:rPr>
                <w:sz w:val="24"/>
                <w:szCs w:val="28"/>
              </w:rPr>
            </w:pPr>
            <w:r>
              <w:drawing>
                <wp:inline distT="0" distB="0" distL="114300" distR="114300">
                  <wp:extent cx="2833370" cy="2006600"/>
                  <wp:effectExtent l="0" t="0" r="1270" b="5080"/>
                  <wp:docPr id="15110946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9469" name="图片 11"/>
                          <pic:cNvPicPr>
                            <a:picLocks noChangeAspect="1"/>
                          </pic:cNvPicPr>
                        </pic:nvPicPr>
                        <pic:blipFill>
                          <a:blip r:embed="rId493"/>
                          <a:stretch>
                            <a:fillRect/>
                          </a:stretch>
                        </pic:blipFill>
                        <pic:spPr>
                          <a:xfrm>
                            <a:off x="0" y="0"/>
                            <a:ext cx="2833370" cy="2006600"/>
                          </a:xfrm>
                          <a:prstGeom prst="rect">
                            <a:avLst/>
                          </a:prstGeom>
                          <a:noFill/>
                          <a:ln>
                            <a:noFill/>
                          </a:ln>
                        </pic:spPr>
                      </pic:pic>
                    </a:graphicData>
                  </a:graphic>
                </wp:inline>
              </w:drawing>
            </w:r>
          </w:p>
        </w:tc>
      </w:tr>
      <w:tr w14:paraId="076B4E8D">
        <w:tblPrEx>
          <w:tblCellMar>
            <w:top w:w="0" w:type="dxa"/>
            <w:left w:w="108" w:type="dxa"/>
            <w:bottom w:w="0" w:type="dxa"/>
            <w:right w:w="108" w:type="dxa"/>
          </w:tblCellMar>
        </w:tblPrEx>
        <w:trPr>
          <w:jc w:val="center"/>
        </w:trPr>
        <w:tc>
          <w:tcPr>
            <w:tcW w:w="5988" w:type="dxa"/>
            <w:vAlign w:val="center"/>
          </w:tcPr>
          <w:p w14:paraId="506D2D2F">
            <w:pPr>
              <w:pStyle w:val="55"/>
              <w:spacing w:before="31" w:after="31"/>
              <w:rPr>
                <w:szCs w:val="21"/>
              </w:rPr>
            </w:pPr>
            <w:r>
              <w:rPr>
                <w:szCs w:val="21"/>
              </w:rPr>
              <w:t>（b）侧立面</w:t>
            </w:r>
          </w:p>
        </w:tc>
      </w:tr>
    </w:tbl>
    <w:p w14:paraId="3AB12EF8">
      <w:pPr>
        <w:pStyle w:val="55"/>
        <w:spacing w:before="31" w:after="31"/>
        <w:rPr>
          <w:szCs w:val="21"/>
        </w:rPr>
      </w:pPr>
      <w:r>
        <w:rPr>
          <w:szCs w:val="21"/>
        </w:rPr>
        <w:t>图</w:t>
      </w:r>
      <w:r>
        <w:rPr>
          <w:rFonts w:hint="eastAsia"/>
          <w:szCs w:val="21"/>
        </w:rPr>
        <w:t>C.</w:t>
      </w:r>
      <w:r>
        <w:rPr>
          <w:szCs w:val="21"/>
        </w:rPr>
        <w:t>3.5-1 二层房屋加固条带立面示意图</w:t>
      </w:r>
    </w:p>
    <w:p w14:paraId="3A63BF54">
      <w:pPr>
        <w:pStyle w:val="55"/>
        <w:spacing w:before="31" w:after="31"/>
        <w:rPr>
          <w:szCs w:val="21"/>
        </w:rPr>
      </w:pPr>
      <w:r>
        <w:rPr>
          <w:szCs w:val="21"/>
        </w:rPr>
        <w:t>h1-一层层高；h2-二层层高</w:t>
      </w:r>
    </w:p>
    <w:tbl>
      <w:tblPr>
        <w:tblStyle w:val="28"/>
        <w:tblW w:w="0" w:type="auto"/>
        <w:jc w:val="center"/>
        <w:tblLayout w:type="fixed"/>
        <w:tblCellMar>
          <w:top w:w="0" w:type="dxa"/>
          <w:left w:w="108" w:type="dxa"/>
          <w:bottom w:w="0" w:type="dxa"/>
          <w:right w:w="108" w:type="dxa"/>
        </w:tblCellMar>
      </w:tblPr>
      <w:tblGrid>
        <w:gridCol w:w="5988"/>
      </w:tblGrid>
      <w:tr w14:paraId="3685C4A8">
        <w:tblPrEx>
          <w:tblCellMar>
            <w:top w:w="0" w:type="dxa"/>
            <w:left w:w="108" w:type="dxa"/>
            <w:bottom w:w="0" w:type="dxa"/>
            <w:right w:w="108" w:type="dxa"/>
          </w:tblCellMar>
        </w:tblPrEx>
        <w:trPr>
          <w:jc w:val="center"/>
        </w:trPr>
        <w:tc>
          <w:tcPr>
            <w:tcW w:w="5988" w:type="dxa"/>
          </w:tcPr>
          <w:p w14:paraId="1FAFCE30">
            <w:pPr>
              <w:pStyle w:val="55"/>
              <w:spacing w:before="31" w:after="31"/>
              <w:rPr>
                <w:sz w:val="24"/>
                <w:szCs w:val="28"/>
              </w:rPr>
            </w:pPr>
            <w:r>
              <w:drawing>
                <wp:inline distT="0" distB="0" distL="114300" distR="114300">
                  <wp:extent cx="3333115" cy="1106805"/>
                  <wp:effectExtent l="0" t="0" r="635" b="0"/>
                  <wp:docPr id="13024862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86248" name="图片 6"/>
                          <pic:cNvPicPr>
                            <a:picLocks noChangeAspect="1"/>
                          </pic:cNvPicPr>
                        </pic:nvPicPr>
                        <pic:blipFill>
                          <a:blip r:embed="rId494"/>
                          <a:stretch>
                            <a:fillRect/>
                          </a:stretch>
                        </pic:blipFill>
                        <pic:spPr>
                          <a:xfrm>
                            <a:off x="0" y="0"/>
                            <a:ext cx="3339055" cy="1108993"/>
                          </a:xfrm>
                          <a:prstGeom prst="rect">
                            <a:avLst/>
                          </a:prstGeom>
                          <a:noFill/>
                          <a:ln>
                            <a:noFill/>
                          </a:ln>
                        </pic:spPr>
                      </pic:pic>
                    </a:graphicData>
                  </a:graphic>
                </wp:inline>
              </w:drawing>
            </w:r>
          </w:p>
        </w:tc>
      </w:tr>
      <w:tr w14:paraId="662AD662">
        <w:tblPrEx>
          <w:tblCellMar>
            <w:top w:w="0" w:type="dxa"/>
            <w:left w:w="108" w:type="dxa"/>
            <w:bottom w:w="0" w:type="dxa"/>
            <w:right w:w="108" w:type="dxa"/>
          </w:tblCellMar>
        </w:tblPrEx>
        <w:trPr>
          <w:jc w:val="center"/>
        </w:trPr>
        <w:tc>
          <w:tcPr>
            <w:tcW w:w="5988" w:type="dxa"/>
          </w:tcPr>
          <w:p w14:paraId="44D623DE">
            <w:pPr>
              <w:pStyle w:val="55"/>
              <w:spacing w:before="31" w:after="31"/>
              <w:rPr>
                <w:szCs w:val="21"/>
              </w:rPr>
            </w:pPr>
            <w:r>
              <w:rPr>
                <w:szCs w:val="21"/>
              </w:rPr>
              <w:t>（a）正立面</w:t>
            </w:r>
          </w:p>
        </w:tc>
      </w:tr>
      <w:tr w14:paraId="11A36BB6">
        <w:trPr>
          <w:jc w:val="center"/>
        </w:trPr>
        <w:tc>
          <w:tcPr>
            <w:tcW w:w="5988" w:type="dxa"/>
          </w:tcPr>
          <w:p w14:paraId="146F6C88">
            <w:pPr>
              <w:pStyle w:val="55"/>
              <w:spacing w:before="31" w:after="31"/>
              <w:rPr>
                <w:sz w:val="24"/>
                <w:szCs w:val="28"/>
              </w:rPr>
            </w:pPr>
            <w:r>
              <w:drawing>
                <wp:inline distT="0" distB="0" distL="114300" distR="114300">
                  <wp:extent cx="2805430" cy="1303020"/>
                  <wp:effectExtent l="0" t="0" r="13970" b="762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495"/>
                          <a:stretch>
                            <a:fillRect/>
                          </a:stretch>
                        </pic:blipFill>
                        <pic:spPr>
                          <a:xfrm>
                            <a:off x="0" y="0"/>
                            <a:ext cx="2805430" cy="1303020"/>
                          </a:xfrm>
                          <a:prstGeom prst="rect">
                            <a:avLst/>
                          </a:prstGeom>
                          <a:noFill/>
                          <a:ln>
                            <a:noFill/>
                          </a:ln>
                        </pic:spPr>
                      </pic:pic>
                    </a:graphicData>
                  </a:graphic>
                </wp:inline>
              </w:drawing>
            </w:r>
          </w:p>
        </w:tc>
      </w:tr>
      <w:tr w14:paraId="3ADBFD2D">
        <w:tblPrEx>
          <w:tblCellMar>
            <w:top w:w="0" w:type="dxa"/>
            <w:left w:w="108" w:type="dxa"/>
            <w:bottom w:w="0" w:type="dxa"/>
            <w:right w:w="108" w:type="dxa"/>
          </w:tblCellMar>
        </w:tblPrEx>
        <w:trPr>
          <w:jc w:val="center"/>
        </w:trPr>
        <w:tc>
          <w:tcPr>
            <w:tcW w:w="5988" w:type="dxa"/>
          </w:tcPr>
          <w:p w14:paraId="4567D17A">
            <w:pPr>
              <w:pStyle w:val="55"/>
              <w:spacing w:before="31" w:after="31"/>
              <w:rPr>
                <w:szCs w:val="21"/>
              </w:rPr>
            </w:pPr>
            <w:r>
              <w:rPr>
                <w:szCs w:val="21"/>
              </w:rPr>
              <w:t>（b）侧立面</w:t>
            </w:r>
          </w:p>
        </w:tc>
      </w:tr>
    </w:tbl>
    <w:p w14:paraId="248C889B">
      <w:pPr>
        <w:pStyle w:val="55"/>
        <w:spacing w:before="31" w:after="31"/>
        <w:rPr>
          <w:szCs w:val="21"/>
        </w:rPr>
      </w:pPr>
      <w:r>
        <w:rPr>
          <w:szCs w:val="21"/>
        </w:rPr>
        <w:t>图</w:t>
      </w:r>
      <w:r>
        <w:rPr>
          <w:rFonts w:hint="eastAsia"/>
          <w:szCs w:val="21"/>
        </w:rPr>
        <w:t>C.</w:t>
      </w:r>
      <w:r>
        <w:rPr>
          <w:szCs w:val="21"/>
        </w:rPr>
        <w:t>3.5-2单层房屋加固条带立面示意图</w:t>
      </w:r>
    </w:p>
    <w:p w14:paraId="3E61734E">
      <w:pPr>
        <w:pStyle w:val="55"/>
        <w:spacing w:before="31" w:after="31"/>
        <w:rPr>
          <w:szCs w:val="21"/>
        </w:rPr>
      </w:pPr>
      <w:r>
        <w:rPr>
          <w:szCs w:val="21"/>
        </w:rPr>
        <w:t>h1-一层层高</w:t>
      </w:r>
    </w:p>
    <w:p w14:paraId="3B915EBD">
      <w:pPr>
        <w:ind w:firstLine="422"/>
      </w:pPr>
      <w:bookmarkStart w:id="1113" w:name="_Toc9927746"/>
      <w:bookmarkStart w:id="1114" w:name="_Toc10207273"/>
      <w:bookmarkStart w:id="1115" w:name="_Toc7976180"/>
      <w:bookmarkStart w:id="1116" w:name="_Toc19545319"/>
      <w:bookmarkStart w:id="1117" w:name="_Toc25690982"/>
      <w:bookmarkStart w:id="1118" w:name="_Toc25070738"/>
      <w:bookmarkStart w:id="1119" w:name="_Toc25690711"/>
      <w:bookmarkStart w:id="1120" w:name="_Toc25070436"/>
      <w:bookmarkStart w:id="1121" w:name="_Toc19545589"/>
      <w:r>
        <w:rPr>
          <w:b/>
        </w:rPr>
        <w:t xml:space="preserve">2 </w:t>
      </w:r>
      <w:r>
        <w:t xml:space="preserve"> 单层房屋含阁楼时，应在阁楼高度处增设一道高延性混凝土水平条带，条带宽度及厚度与楼（屋）盖处水平条带相同</w:t>
      </w:r>
      <w:bookmarkEnd w:id="1113"/>
      <w:bookmarkEnd w:id="1114"/>
      <w:bookmarkEnd w:id="1115"/>
      <w:r>
        <w:t>；</w:t>
      </w:r>
      <w:bookmarkEnd w:id="1116"/>
      <w:bookmarkEnd w:id="1117"/>
      <w:bookmarkEnd w:id="1118"/>
      <w:bookmarkEnd w:id="1119"/>
      <w:bookmarkEnd w:id="1120"/>
      <w:bookmarkEnd w:id="1121"/>
    </w:p>
    <w:p w14:paraId="52EC459C">
      <w:pPr>
        <w:ind w:firstLine="422"/>
      </w:pPr>
      <w:bookmarkStart w:id="1122" w:name="_Toc10207274"/>
      <w:bookmarkStart w:id="1123" w:name="_Toc9927747"/>
      <w:bookmarkStart w:id="1124" w:name="_Toc7976181"/>
      <w:bookmarkStart w:id="1125" w:name="_Toc25070739"/>
      <w:bookmarkStart w:id="1126" w:name="_Toc25690712"/>
      <w:bookmarkStart w:id="1127" w:name="_Toc25690983"/>
      <w:bookmarkStart w:id="1128" w:name="_Toc25070437"/>
      <w:bookmarkStart w:id="1129" w:name="_Toc19545320"/>
      <w:bookmarkStart w:id="1130" w:name="_Toc19545590"/>
      <w:r>
        <w:rPr>
          <w:b/>
        </w:rPr>
        <w:t>3</w:t>
      </w:r>
      <w:r>
        <w:t xml:space="preserve">  高延性混凝土水平条带边缘距外墙洞口上下边距离不大于100mm时，宜调整水平条带宽度至上下洞口边沿，并将高延性混凝土条带包至门（窗）框边（图</w:t>
      </w:r>
      <w:r>
        <w:rPr>
          <w:rFonts w:hint="eastAsia"/>
        </w:rPr>
        <w:t>C.</w:t>
      </w:r>
      <w:r>
        <w:t>3.5-3）</w:t>
      </w:r>
      <w:bookmarkEnd w:id="1122"/>
      <w:bookmarkEnd w:id="1123"/>
      <w:bookmarkEnd w:id="1124"/>
      <w:r>
        <w:t>；</w:t>
      </w:r>
      <w:bookmarkEnd w:id="1125"/>
      <w:bookmarkEnd w:id="1126"/>
      <w:bookmarkEnd w:id="1127"/>
      <w:bookmarkEnd w:id="1128"/>
      <w:bookmarkEnd w:id="1129"/>
      <w:bookmarkEnd w:id="1130"/>
    </w:p>
    <w:p w14:paraId="4D37606A">
      <w:pPr>
        <w:pStyle w:val="55"/>
        <w:spacing w:before="31" w:after="31"/>
      </w:pPr>
      <w:r>
        <w:drawing>
          <wp:inline distT="0" distB="0" distL="0" distR="0">
            <wp:extent cx="960755" cy="1707515"/>
            <wp:effectExtent l="0" t="0" r="0" b="6985"/>
            <wp:docPr id="193"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325"/>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a:xfrm>
                      <a:off x="0" y="0"/>
                      <a:ext cx="962787" cy="1711508"/>
                    </a:xfrm>
                    <a:prstGeom prst="rect">
                      <a:avLst/>
                    </a:prstGeom>
                    <a:noFill/>
                    <a:ln>
                      <a:noFill/>
                    </a:ln>
                  </pic:spPr>
                </pic:pic>
              </a:graphicData>
            </a:graphic>
          </wp:inline>
        </w:drawing>
      </w:r>
    </w:p>
    <w:p w14:paraId="607AAE2E">
      <w:pPr>
        <w:pStyle w:val="55"/>
        <w:spacing w:before="31" w:after="31"/>
        <w:rPr>
          <w:szCs w:val="21"/>
        </w:rPr>
      </w:pPr>
      <w:r>
        <w:rPr>
          <w:szCs w:val="21"/>
        </w:rPr>
        <w:t>图</w:t>
      </w:r>
      <w:r>
        <w:rPr>
          <w:rFonts w:hint="eastAsia"/>
          <w:szCs w:val="21"/>
        </w:rPr>
        <w:t>C.</w:t>
      </w:r>
      <w:r>
        <w:rPr>
          <w:szCs w:val="21"/>
        </w:rPr>
        <w:t>3.5-3 水平条带在门窗洞口边缘的加固示意图</w:t>
      </w:r>
    </w:p>
    <w:p w14:paraId="5D78F539">
      <w:pPr>
        <w:pStyle w:val="55"/>
        <w:spacing w:before="31" w:after="31"/>
        <w:rPr>
          <w:szCs w:val="21"/>
        </w:rPr>
      </w:pPr>
      <w:r>
        <w:rPr>
          <w:szCs w:val="21"/>
        </w:rPr>
        <w:t>1-</w:t>
      </w:r>
      <w:r>
        <w:rPr>
          <w:rFonts w:hint="eastAsia"/>
          <w:szCs w:val="21"/>
        </w:rPr>
        <w:t>门窗洞口；</w:t>
      </w:r>
      <w:r>
        <w:rPr>
          <w:szCs w:val="21"/>
        </w:rPr>
        <w:t>2-</w:t>
      </w:r>
      <w:r>
        <w:rPr>
          <w:rFonts w:hint="eastAsia"/>
          <w:szCs w:val="21"/>
        </w:rPr>
        <w:t>楼面；3</w:t>
      </w:r>
      <w:r>
        <w:rPr>
          <w:szCs w:val="21"/>
        </w:rPr>
        <w:t>-</w:t>
      </w:r>
      <w:r>
        <w:rPr>
          <w:rFonts w:hint="eastAsia"/>
          <w:szCs w:val="21"/>
        </w:rPr>
        <w:t>高延性混凝土水平条带</w:t>
      </w:r>
    </w:p>
    <w:p w14:paraId="046475BC">
      <w:pPr>
        <w:ind w:firstLine="422"/>
      </w:pPr>
      <w:bookmarkStart w:id="1131" w:name="_Toc10207275"/>
      <w:bookmarkStart w:id="1132" w:name="_Toc9927748"/>
      <w:bookmarkStart w:id="1133" w:name="_Toc7976182"/>
      <w:bookmarkStart w:id="1134" w:name="_Toc19545591"/>
      <w:bookmarkStart w:id="1135" w:name="_Toc19545321"/>
      <w:bookmarkStart w:id="1136" w:name="_Toc25690984"/>
      <w:bookmarkStart w:id="1137" w:name="_Toc25070438"/>
      <w:bookmarkStart w:id="1138" w:name="_Toc25690713"/>
      <w:bookmarkStart w:id="1139" w:name="_Toc25070740"/>
      <w:r>
        <w:rPr>
          <w:b/>
        </w:rPr>
        <w:t>4</w:t>
      </w:r>
      <w:r>
        <w:t xml:space="preserve">  高延性混凝土水平条带应延伸至一字墙端部，且当一字墙长度大于2m时，应在墙体半高处增设一道水平条带，条带宽度及厚度可按表</w:t>
      </w:r>
      <w:r>
        <w:rPr>
          <w:rFonts w:hint="eastAsia"/>
        </w:rPr>
        <w:t>C.</w:t>
      </w:r>
      <w:r>
        <w:t>3.2取值</w:t>
      </w:r>
      <w:bookmarkEnd w:id="1131"/>
      <w:bookmarkEnd w:id="1132"/>
      <w:bookmarkEnd w:id="1133"/>
      <w:r>
        <w:t>；</w:t>
      </w:r>
      <w:bookmarkEnd w:id="1134"/>
      <w:bookmarkEnd w:id="1135"/>
      <w:bookmarkEnd w:id="1136"/>
      <w:bookmarkEnd w:id="1137"/>
      <w:bookmarkEnd w:id="1138"/>
      <w:bookmarkEnd w:id="1139"/>
    </w:p>
    <w:p w14:paraId="1D056199">
      <w:pPr>
        <w:ind w:firstLine="422"/>
      </w:pPr>
      <w:bookmarkStart w:id="1140" w:name="_Toc7976183"/>
      <w:bookmarkStart w:id="1141" w:name="_Toc25070439"/>
      <w:bookmarkStart w:id="1142" w:name="_Toc25690985"/>
      <w:bookmarkStart w:id="1143" w:name="_Toc19545322"/>
      <w:bookmarkStart w:id="1144" w:name="_Toc25070741"/>
      <w:bookmarkStart w:id="1145" w:name="_Toc9927749"/>
      <w:bookmarkStart w:id="1146" w:name="_Toc25690714"/>
      <w:bookmarkStart w:id="1147" w:name="_Toc10207276"/>
      <w:bookmarkStart w:id="1148" w:name="_Toc19545592"/>
      <w:r>
        <w:rPr>
          <w:b/>
        </w:rPr>
        <w:t>5</w:t>
      </w:r>
      <w:r>
        <w:t xml:space="preserve">  两端均设置高延性混凝土竖向条带的内墙，宜在楼（屋）盖处设置高延性混凝土水平条带，条带宽度及厚度可按表</w:t>
      </w:r>
      <w:r>
        <w:rPr>
          <w:rFonts w:hint="eastAsia"/>
        </w:rPr>
        <w:t>C.</w:t>
      </w:r>
      <w:r>
        <w:t>3.2取值</w:t>
      </w:r>
      <w:bookmarkEnd w:id="1140"/>
      <w:bookmarkEnd w:id="1141"/>
      <w:bookmarkEnd w:id="1142"/>
      <w:bookmarkEnd w:id="1143"/>
      <w:bookmarkEnd w:id="1144"/>
      <w:bookmarkEnd w:id="1145"/>
      <w:bookmarkEnd w:id="1146"/>
      <w:bookmarkEnd w:id="1147"/>
      <w:bookmarkEnd w:id="1148"/>
      <w:r>
        <w:rPr>
          <w:rFonts w:hint="eastAsia"/>
        </w:rPr>
        <w:t>；</w:t>
      </w:r>
    </w:p>
    <w:p w14:paraId="4AD9E7A3">
      <w:pPr>
        <w:ind w:firstLine="422"/>
      </w:pPr>
      <w:r>
        <w:rPr>
          <w:rFonts w:hint="eastAsia"/>
          <w:b/>
        </w:rPr>
        <w:t>6</w:t>
      </w:r>
      <w:r>
        <w:t xml:space="preserve">  </w:t>
      </w:r>
      <w:r>
        <w:rPr>
          <w:rFonts w:hint="eastAsia"/>
        </w:rPr>
        <w:t>墙体根部长期处于潮湿环境时，宜在墙体根部增设一道高延性混凝土水平条带，条带宽不宜小于600mm，且水平条带上沿应高出室内地坪不小于200mm。</w:t>
      </w:r>
    </w:p>
    <w:p w14:paraId="64AE0FE5">
      <w:pPr>
        <w:ind w:firstLine="422"/>
      </w:pPr>
      <w:r>
        <w:rPr>
          <w:rFonts w:hint="eastAsia" w:eastAsia="宋体" w:cs="Times New Roman"/>
          <w:b/>
        </w:rPr>
        <w:t xml:space="preserve">7  </w:t>
      </w:r>
      <w:r>
        <w:rPr>
          <w:rFonts w:hint="eastAsia"/>
        </w:rPr>
        <w:t>当房屋正面因开洞而条带无法实施时，应设置加强筋或者钢拉杆替代水平条带的作用。</w:t>
      </w:r>
    </w:p>
    <w:p w14:paraId="727DFC2D">
      <w:pPr>
        <w:pStyle w:val="4"/>
      </w:pPr>
      <w:bookmarkStart w:id="1149" w:name="_Toc19545323"/>
      <w:bookmarkStart w:id="1150" w:name="_Toc25070440"/>
      <w:bookmarkStart w:id="1151" w:name="_Toc25690986"/>
      <w:bookmarkStart w:id="1152" w:name="_Toc7976184"/>
      <w:bookmarkStart w:id="1153" w:name="_Toc25070742"/>
      <w:bookmarkStart w:id="1154" w:name="_Toc25690715"/>
      <w:bookmarkStart w:id="1155" w:name="_Toc19545593"/>
      <w:bookmarkStart w:id="1156" w:name="_Toc9927750"/>
      <w:bookmarkStart w:id="1157" w:name="_Toc10207277"/>
      <w:r>
        <w:rPr>
          <w:rFonts w:hint="eastAsia"/>
          <w:b/>
          <w:szCs w:val="28"/>
        </w:rPr>
        <w:t>C.</w:t>
      </w:r>
      <w:r>
        <w:rPr>
          <w:b/>
          <w:szCs w:val="28"/>
        </w:rPr>
        <w:t xml:space="preserve">3.6 </w:t>
      </w:r>
      <w:r>
        <w:rPr>
          <w:szCs w:val="28"/>
        </w:rPr>
        <w:t xml:space="preserve"> </w:t>
      </w:r>
      <w:bookmarkEnd w:id="1149"/>
      <w:bookmarkEnd w:id="1150"/>
      <w:bookmarkEnd w:id="1151"/>
      <w:bookmarkEnd w:id="1152"/>
      <w:bookmarkEnd w:id="1153"/>
      <w:bookmarkEnd w:id="1154"/>
      <w:bookmarkEnd w:id="1155"/>
      <w:bookmarkEnd w:id="1156"/>
      <w:bookmarkEnd w:id="1157"/>
      <w:r>
        <w:t>房屋端山墙外侧有相邻建筑物时，端山墙上的高延性混凝土水平条带及竖向条带均应设置在墙体内侧，且外纵墙与端山墙交接部位的高延性混凝土竖向条带应双面布置（图</w:t>
      </w:r>
      <w:r>
        <w:rPr>
          <w:rFonts w:hint="eastAsia"/>
        </w:rPr>
        <w:t>C.3</w:t>
      </w:r>
      <w:r>
        <w:t>.6</w:t>
      </w:r>
      <w:r>
        <w:rPr>
          <w:rFonts w:hint="eastAsia"/>
        </w:rPr>
        <w:t>-a</w:t>
      </w:r>
      <w:r>
        <w:t>）。</w:t>
      </w:r>
      <w:r>
        <w:rPr>
          <w:rFonts w:hint="eastAsia"/>
        </w:rPr>
        <w:t>当墙体内侧不能进行高延性混凝土施工时，应在楼板底部沿横墙设置钢拉杆，钢拉杆需要张紧，直径不小于16mm，拉杆两端设置不小于250mm×250mm×10mm的钢垫板锚固于高延性混凝土条带外侧</w:t>
      </w:r>
      <w:r>
        <w:t>（图</w:t>
      </w:r>
      <w:r>
        <w:rPr>
          <w:rFonts w:hint="eastAsia"/>
        </w:rPr>
        <w:t>C.3</w:t>
      </w:r>
      <w:r>
        <w:t>.6</w:t>
      </w:r>
      <w:r>
        <w:rPr>
          <w:rFonts w:hint="eastAsia"/>
        </w:rPr>
        <w:t>-b</w:t>
      </w:r>
      <w:r>
        <w:t>）</w:t>
      </w:r>
      <w:r>
        <w:rPr>
          <w:rFonts w:hint="eastAsia"/>
        </w:rPr>
        <w:t>。</w:t>
      </w:r>
    </w:p>
    <w:p w14:paraId="66404321">
      <w:pPr>
        <w:pStyle w:val="55"/>
        <w:spacing w:before="31" w:after="31"/>
      </w:pPr>
      <w:r>
        <w:drawing>
          <wp:inline distT="0" distB="0" distL="0" distR="0">
            <wp:extent cx="1263650" cy="1492250"/>
            <wp:effectExtent l="0" t="0" r="0" b="0"/>
            <wp:docPr id="194"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309"/>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a:xfrm>
                      <a:off x="0" y="0"/>
                      <a:ext cx="1266018" cy="1495127"/>
                    </a:xfrm>
                    <a:prstGeom prst="rect">
                      <a:avLst/>
                    </a:prstGeom>
                    <a:noFill/>
                    <a:ln>
                      <a:noFill/>
                    </a:ln>
                  </pic:spPr>
                </pic:pic>
              </a:graphicData>
            </a:graphic>
          </wp:inline>
        </w:drawing>
      </w:r>
      <w:r>
        <w:rPr>
          <w:rFonts w:hint="eastAsia"/>
        </w:rPr>
        <w:t xml:space="preserve">     </w:t>
      </w:r>
      <w:r>
        <w:drawing>
          <wp:inline distT="0" distB="0" distL="0" distR="0">
            <wp:extent cx="1183005" cy="1293495"/>
            <wp:effectExtent l="0" t="0" r="0" b="1905"/>
            <wp:docPr id="195"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310"/>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a:xfrm>
                      <a:off x="0" y="0"/>
                      <a:ext cx="1191899" cy="1303492"/>
                    </a:xfrm>
                    <a:prstGeom prst="rect">
                      <a:avLst/>
                    </a:prstGeom>
                    <a:noFill/>
                    <a:ln>
                      <a:noFill/>
                    </a:ln>
                  </pic:spPr>
                </pic:pic>
              </a:graphicData>
            </a:graphic>
          </wp:inline>
        </w:drawing>
      </w:r>
    </w:p>
    <w:p w14:paraId="4A5C41B3">
      <w:pPr>
        <w:pStyle w:val="55"/>
        <w:spacing w:before="31" w:after="31"/>
      </w:pPr>
      <w:r>
        <w:rPr>
          <w:rFonts w:hint="eastAsia"/>
        </w:rPr>
        <w:t>（a）内侧设置条带               （b）内侧设置钢拉杆</w:t>
      </w:r>
    </w:p>
    <w:p w14:paraId="50513B68">
      <w:pPr>
        <w:pStyle w:val="55"/>
        <w:spacing w:before="31" w:after="31"/>
      </w:pPr>
      <w:r>
        <w:t>图</w:t>
      </w:r>
      <w:r>
        <w:rPr>
          <w:rFonts w:hint="eastAsia"/>
        </w:rPr>
        <w:t>C.</w:t>
      </w:r>
      <w:r>
        <w:t>3.6 相邻建筑物的端山墙加固平面示意图</w:t>
      </w:r>
    </w:p>
    <w:p w14:paraId="5760D447">
      <w:pPr>
        <w:pStyle w:val="55"/>
        <w:spacing w:before="31" w:after="31"/>
      </w:pPr>
      <w:r>
        <w:t>1-</w:t>
      </w:r>
      <w:r>
        <w:rPr>
          <w:rFonts w:hint="eastAsia"/>
        </w:rPr>
        <w:t>原墙体；</w:t>
      </w:r>
      <w:r>
        <w:t>2-</w:t>
      </w:r>
      <w:r>
        <w:rPr>
          <w:rFonts w:hint="eastAsia"/>
        </w:rPr>
        <w:t>高延性混凝土竖向条带</w:t>
      </w:r>
    </w:p>
    <w:p w14:paraId="38BC9D48">
      <w:pPr>
        <w:pStyle w:val="4"/>
      </w:pPr>
      <w:bookmarkStart w:id="1158" w:name="_Toc9927751"/>
      <w:bookmarkStart w:id="1159" w:name="_Toc25070743"/>
      <w:bookmarkStart w:id="1160" w:name="_Toc19545324"/>
      <w:bookmarkStart w:id="1161" w:name="_Toc25070441"/>
      <w:bookmarkStart w:id="1162" w:name="_Toc25690716"/>
      <w:bookmarkStart w:id="1163" w:name="_Toc19545594"/>
      <w:bookmarkStart w:id="1164" w:name="_Toc7976185"/>
      <w:bookmarkStart w:id="1165" w:name="_Toc25690987"/>
      <w:bookmarkStart w:id="1166" w:name="_Toc10207278"/>
      <w:r>
        <w:rPr>
          <w:rFonts w:hint="eastAsia"/>
          <w:b/>
        </w:rPr>
        <w:t>C.</w:t>
      </w:r>
      <w:r>
        <w:rPr>
          <w:b/>
        </w:rPr>
        <w:t xml:space="preserve">3.7  </w:t>
      </w:r>
      <w:r>
        <w:t>高延性混凝土水平条带与竖向条带相交部位应设置高延性混凝土加腋</w:t>
      </w:r>
      <w:r>
        <w:rPr>
          <w:rFonts w:hint="eastAsia"/>
        </w:rPr>
        <w:t>区</w:t>
      </w:r>
      <w:r>
        <w:t>（图</w:t>
      </w:r>
      <w:r>
        <w:rPr>
          <w:rFonts w:hint="eastAsia"/>
        </w:rPr>
        <w:t>C.</w:t>
      </w:r>
      <w:r>
        <w:t>3.7）。加腋部位高延性混凝土面层应与高延性混凝土条带连续施工，严禁留施工冷缝。</w:t>
      </w:r>
      <w:bookmarkEnd w:id="1158"/>
      <w:bookmarkEnd w:id="1159"/>
      <w:bookmarkEnd w:id="1160"/>
      <w:bookmarkEnd w:id="1161"/>
      <w:bookmarkEnd w:id="1162"/>
      <w:bookmarkEnd w:id="1163"/>
      <w:bookmarkEnd w:id="1164"/>
      <w:bookmarkEnd w:id="1165"/>
      <w:bookmarkEnd w:id="1166"/>
    </w:p>
    <w:p w14:paraId="36EAA5CE">
      <w:pPr>
        <w:pStyle w:val="55"/>
        <w:spacing w:before="31" w:after="31"/>
      </w:pPr>
      <w:r>
        <w:drawing>
          <wp:inline distT="0" distB="0" distL="0" distR="0">
            <wp:extent cx="1630045" cy="1542415"/>
            <wp:effectExtent l="0" t="0" r="0" b="0"/>
            <wp:docPr id="196"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313"/>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a:xfrm>
                      <a:off x="0" y="0"/>
                      <a:ext cx="1630045" cy="1542415"/>
                    </a:xfrm>
                    <a:prstGeom prst="rect">
                      <a:avLst/>
                    </a:prstGeom>
                    <a:noFill/>
                    <a:ln>
                      <a:noFill/>
                    </a:ln>
                  </pic:spPr>
                </pic:pic>
              </a:graphicData>
            </a:graphic>
          </wp:inline>
        </w:drawing>
      </w:r>
    </w:p>
    <w:p w14:paraId="62E790B9">
      <w:pPr>
        <w:pStyle w:val="55"/>
        <w:spacing w:before="31" w:after="31"/>
      </w:pPr>
      <w:r>
        <w:t>图</w:t>
      </w:r>
      <w:r>
        <w:rPr>
          <w:rFonts w:hint="eastAsia"/>
        </w:rPr>
        <w:t>C.</w:t>
      </w:r>
      <w:r>
        <w:t>3.7 高延性混凝土条带相交处加腋示意图</w:t>
      </w:r>
    </w:p>
    <w:p w14:paraId="68A7EE95">
      <w:pPr>
        <w:spacing w:line="312" w:lineRule="auto"/>
        <w:ind w:firstLine="420"/>
        <w:jc w:val="center"/>
        <w:rPr>
          <w:szCs w:val="21"/>
        </w:rPr>
      </w:pPr>
      <w:r>
        <w:rPr>
          <w:szCs w:val="21"/>
        </w:rPr>
        <w:t>1-</w:t>
      </w:r>
      <w:r>
        <w:rPr>
          <w:rFonts w:hint="eastAsia"/>
          <w:szCs w:val="21"/>
        </w:rPr>
        <w:t>高延性混凝土竖向条带；</w:t>
      </w:r>
      <w:r>
        <w:rPr>
          <w:szCs w:val="21"/>
        </w:rPr>
        <w:t>2-</w:t>
      </w:r>
      <w:r>
        <w:rPr>
          <w:rFonts w:hint="eastAsia"/>
          <w:szCs w:val="21"/>
        </w:rPr>
        <w:t>高延性混凝土加腋；3</w:t>
      </w:r>
      <w:r>
        <w:rPr>
          <w:szCs w:val="21"/>
        </w:rPr>
        <w:t>-</w:t>
      </w:r>
      <w:r>
        <w:rPr>
          <w:rFonts w:hint="eastAsia"/>
          <w:szCs w:val="21"/>
        </w:rPr>
        <w:t>高延性混凝土水平条带</w:t>
      </w:r>
    </w:p>
    <w:p w14:paraId="3DE6186F">
      <w:pPr>
        <w:pStyle w:val="4"/>
      </w:pPr>
      <w:r>
        <w:rPr>
          <w:rFonts w:hint="eastAsia"/>
          <w:b/>
        </w:rPr>
        <w:t>C.</w:t>
      </w:r>
      <w:r>
        <w:rPr>
          <w:b/>
        </w:rPr>
        <w:t>3.</w:t>
      </w:r>
      <w:r>
        <w:rPr>
          <w:rFonts w:hint="eastAsia"/>
          <w:b/>
        </w:rPr>
        <w:t>8</w:t>
      </w:r>
      <w:r>
        <w:t xml:space="preserve">  </w:t>
      </w:r>
      <w:r>
        <w:rPr>
          <w:rFonts w:hint="eastAsia"/>
        </w:rPr>
        <w:t>当墙体倾斜，或纵横墙咬茬较弱，或纵横墙采用不同墙体材料时，纵横墙交接处应采用U型拉结筋连接纵横墙体后，增设高延性混凝土竖向条带（图5.2.7）</w:t>
      </w:r>
      <w:r>
        <w:t>。</w:t>
      </w:r>
    </w:p>
    <w:tbl>
      <w:tblPr>
        <w:tblStyle w:val="28"/>
        <w:tblW w:w="4999" w:type="pct"/>
        <w:tblInd w:w="0" w:type="dxa"/>
        <w:tblLayout w:type="autofit"/>
        <w:tblCellMar>
          <w:top w:w="0" w:type="dxa"/>
          <w:left w:w="108" w:type="dxa"/>
          <w:bottom w:w="0" w:type="dxa"/>
          <w:right w:w="108" w:type="dxa"/>
        </w:tblCellMar>
      </w:tblPr>
      <w:tblGrid>
        <w:gridCol w:w="8150"/>
      </w:tblGrid>
      <w:tr w14:paraId="375D73F3">
        <w:tblPrEx>
          <w:tblCellMar>
            <w:top w:w="0" w:type="dxa"/>
            <w:left w:w="108" w:type="dxa"/>
            <w:bottom w:w="0" w:type="dxa"/>
            <w:right w:w="108" w:type="dxa"/>
          </w:tblCellMar>
        </w:tblPrEx>
        <w:tc>
          <w:tcPr>
            <w:tcW w:w="5000" w:type="pct"/>
            <w:vAlign w:val="bottom"/>
          </w:tcPr>
          <w:p w14:paraId="1D1B3218">
            <w:pPr>
              <w:pStyle w:val="55"/>
              <w:spacing w:before="31" w:after="31"/>
            </w:pPr>
            <w:r>
              <w:drawing>
                <wp:inline distT="0" distB="0" distL="114300" distR="114300">
                  <wp:extent cx="2867660" cy="2146935"/>
                  <wp:effectExtent l="0" t="0" r="12700" b="1905"/>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500"/>
                          <a:stretch>
                            <a:fillRect/>
                          </a:stretch>
                        </pic:blipFill>
                        <pic:spPr>
                          <a:xfrm>
                            <a:off x="0" y="0"/>
                            <a:ext cx="2867660" cy="2146935"/>
                          </a:xfrm>
                          <a:prstGeom prst="rect">
                            <a:avLst/>
                          </a:prstGeom>
                          <a:noFill/>
                          <a:ln>
                            <a:noFill/>
                          </a:ln>
                        </pic:spPr>
                      </pic:pic>
                    </a:graphicData>
                  </a:graphic>
                </wp:inline>
              </w:drawing>
            </w:r>
          </w:p>
        </w:tc>
      </w:tr>
      <w:tr w14:paraId="0B86DB6A">
        <w:tblPrEx>
          <w:tblCellMar>
            <w:top w:w="0" w:type="dxa"/>
            <w:left w:w="108" w:type="dxa"/>
            <w:bottom w:w="0" w:type="dxa"/>
            <w:right w:w="108" w:type="dxa"/>
          </w:tblCellMar>
        </w:tblPrEx>
        <w:tc>
          <w:tcPr>
            <w:tcW w:w="5000" w:type="pct"/>
            <w:vAlign w:val="bottom"/>
          </w:tcPr>
          <w:p w14:paraId="1735F1B8">
            <w:pPr>
              <w:pStyle w:val="55"/>
              <w:spacing w:before="31" w:after="31"/>
            </w:pPr>
            <w:r>
              <w:t>图</w:t>
            </w:r>
            <w:r>
              <w:rPr>
                <w:rFonts w:hint="eastAsia"/>
              </w:rPr>
              <w:t>C.</w:t>
            </w:r>
            <w:r>
              <w:t>3.</w:t>
            </w:r>
            <w:r>
              <w:rPr>
                <w:rFonts w:hint="eastAsia"/>
              </w:rPr>
              <w:t>8 纵横墙交接处连接示意图</w:t>
            </w:r>
          </w:p>
        </w:tc>
      </w:tr>
    </w:tbl>
    <w:p w14:paraId="4FEBE5F0">
      <w:pPr>
        <w:spacing w:line="360" w:lineRule="auto"/>
        <w:ind w:firstLine="482"/>
        <w:jc w:val="center"/>
        <w:outlineLvl w:val="1"/>
        <w:rPr>
          <w:rFonts w:eastAsia="黑体"/>
          <w:b/>
          <w:sz w:val="24"/>
          <w:szCs w:val="28"/>
        </w:rPr>
      </w:pPr>
    </w:p>
    <w:p w14:paraId="716AFB97">
      <w:pPr>
        <w:pStyle w:val="3"/>
      </w:pPr>
      <w:bookmarkStart w:id="1167" w:name="_Toc207111743"/>
      <w:r>
        <w:rPr>
          <w:rFonts w:hint="eastAsia"/>
        </w:rPr>
        <w:t>Ⅱ 木构件加固设计</w:t>
      </w:r>
      <w:bookmarkEnd w:id="1167"/>
    </w:p>
    <w:p w14:paraId="644B7A6A">
      <w:pPr>
        <w:pStyle w:val="4"/>
      </w:pPr>
      <w:r>
        <w:rPr>
          <w:rFonts w:hint="eastAsia"/>
          <w:b/>
        </w:rPr>
        <w:t>C.</w:t>
      </w:r>
      <w:r>
        <w:rPr>
          <w:b/>
        </w:rPr>
        <w:t>3.</w:t>
      </w:r>
      <w:r>
        <w:rPr>
          <w:rFonts w:hint="eastAsia"/>
          <w:b/>
        </w:rPr>
        <w:t>9</w:t>
      </w:r>
      <w:r>
        <w:t xml:space="preserve">  </w:t>
      </w:r>
      <w:r>
        <w:rPr>
          <w:rFonts w:hint="eastAsia"/>
        </w:rPr>
        <w:t>当木柱、木梁、木柱脚等木构件严重腐朽时，应对其局部替换或整根替换。</w:t>
      </w:r>
    </w:p>
    <w:p w14:paraId="3EA428B9">
      <w:pPr>
        <w:pStyle w:val="4"/>
      </w:pPr>
      <w:r>
        <w:rPr>
          <w:rFonts w:hint="eastAsia"/>
          <w:b/>
        </w:rPr>
        <w:t>C.</w:t>
      </w:r>
      <w:r>
        <w:rPr>
          <w:b/>
        </w:rPr>
        <w:t>3.</w:t>
      </w:r>
      <w:r>
        <w:rPr>
          <w:rFonts w:hint="eastAsia"/>
          <w:b/>
        </w:rPr>
        <w:t>10</w:t>
      </w:r>
      <w:r>
        <w:t xml:space="preserve">  </w:t>
      </w:r>
      <w:r>
        <w:rPr>
          <w:rFonts w:hint="eastAsia"/>
        </w:rPr>
        <w:t>柱脚石尺寸边长不大于400mm时，应用素混凝土包裹扩大至不小于400mm（图</w:t>
      </w:r>
      <w:r>
        <w:rPr>
          <w:rFonts w:hint="eastAsia"/>
          <w:b/>
        </w:rPr>
        <w:t>C.</w:t>
      </w:r>
      <w:r>
        <w:rPr>
          <w:b/>
        </w:rPr>
        <w:t>3.</w:t>
      </w:r>
      <w:r>
        <w:rPr>
          <w:rFonts w:hint="eastAsia"/>
          <w:b/>
        </w:rPr>
        <w:t>10</w:t>
      </w:r>
      <w:r>
        <w:rPr>
          <w:rFonts w:hint="eastAsia"/>
        </w:rPr>
        <w:t>）。</w:t>
      </w:r>
    </w:p>
    <w:tbl>
      <w:tblPr>
        <w:tblStyle w:val="28"/>
        <w:tblW w:w="5000" w:type="pct"/>
        <w:tblInd w:w="0" w:type="dxa"/>
        <w:tblLayout w:type="autofit"/>
        <w:tblCellMar>
          <w:top w:w="0" w:type="dxa"/>
          <w:left w:w="108" w:type="dxa"/>
          <w:bottom w:w="0" w:type="dxa"/>
          <w:right w:w="108" w:type="dxa"/>
        </w:tblCellMar>
      </w:tblPr>
      <w:tblGrid>
        <w:gridCol w:w="4020"/>
        <w:gridCol w:w="4132"/>
      </w:tblGrid>
      <w:tr w14:paraId="42E052B6">
        <w:tblPrEx>
          <w:tblCellMar>
            <w:top w:w="0" w:type="dxa"/>
            <w:left w:w="108" w:type="dxa"/>
            <w:bottom w:w="0" w:type="dxa"/>
            <w:right w:w="108" w:type="dxa"/>
          </w:tblCellMar>
        </w:tblPrEx>
        <w:tc>
          <w:tcPr>
            <w:tcW w:w="2466" w:type="pct"/>
            <w:vAlign w:val="bottom"/>
          </w:tcPr>
          <w:p w14:paraId="3ABB107B">
            <w:pPr>
              <w:pStyle w:val="55"/>
              <w:spacing w:before="31" w:after="31"/>
              <w:rPr>
                <w:rFonts w:eastAsia="方正书宋简体"/>
                <w:sz w:val="18"/>
                <w:szCs w:val="18"/>
              </w:rPr>
            </w:pPr>
            <w:r>
              <w:drawing>
                <wp:inline distT="0" distB="0" distL="114300" distR="114300">
                  <wp:extent cx="2592705" cy="2132330"/>
                  <wp:effectExtent l="0" t="0" r="17145" b="1270"/>
                  <wp:docPr id="1910705607" name="图片 191070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705607" name="图片 1910705607"/>
                          <pic:cNvPicPr>
                            <a:picLocks noChangeAspect="1"/>
                          </pic:cNvPicPr>
                        </pic:nvPicPr>
                        <pic:blipFill>
                          <a:blip r:embed="rId501"/>
                          <a:stretch>
                            <a:fillRect/>
                          </a:stretch>
                        </pic:blipFill>
                        <pic:spPr>
                          <a:xfrm>
                            <a:off x="0" y="0"/>
                            <a:ext cx="2592705" cy="2132330"/>
                          </a:xfrm>
                          <a:prstGeom prst="rect">
                            <a:avLst/>
                          </a:prstGeom>
                          <a:noFill/>
                          <a:ln>
                            <a:noFill/>
                          </a:ln>
                        </pic:spPr>
                      </pic:pic>
                    </a:graphicData>
                  </a:graphic>
                </wp:inline>
              </w:drawing>
            </w:r>
          </w:p>
        </w:tc>
        <w:tc>
          <w:tcPr>
            <w:tcW w:w="2534" w:type="pct"/>
            <w:vAlign w:val="bottom"/>
          </w:tcPr>
          <w:p w14:paraId="35741F44">
            <w:pPr>
              <w:pStyle w:val="55"/>
              <w:spacing w:before="31" w:after="31"/>
              <w:rPr>
                <w:rFonts w:eastAsia="方正书宋简体"/>
                <w:sz w:val="18"/>
                <w:szCs w:val="18"/>
              </w:rPr>
            </w:pPr>
            <w:r>
              <w:drawing>
                <wp:inline distT="0" distB="0" distL="114300" distR="114300">
                  <wp:extent cx="2685415" cy="2222500"/>
                  <wp:effectExtent l="0" t="0" r="635" b="6350"/>
                  <wp:docPr id="169878021" name="图片 16987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8021" name="图片 169878021"/>
                          <pic:cNvPicPr>
                            <a:picLocks noChangeAspect="1"/>
                          </pic:cNvPicPr>
                        </pic:nvPicPr>
                        <pic:blipFill>
                          <a:blip r:embed="rId502"/>
                          <a:stretch>
                            <a:fillRect/>
                          </a:stretch>
                        </pic:blipFill>
                        <pic:spPr>
                          <a:xfrm>
                            <a:off x="0" y="0"/>
                            <a:ext cx="2685415" cy="2222500"/>
                          </a:xfrm>
                          <a:prstGeom prst="rect">
                            <a:avLst/>
                          </a:prstGeom>
                          <a:noFill/>
                          <a:ln>
                            <a:noFill/>
                          </a:ln>
                        </pic:spPr>
                      </pic:pic>
                    </a:graphicData>
                  </a:graphic>
                </wp:inline>
              </w:drawing>
            </w:r>
          </w:p>
        </w:tc>
      </w:tr>
      <w:tr w14:paraId="3245F54F">
        <w:tblPrEx>
          <w:tblCellMar>
            <w:top w:w="0" w:type="dxa"/>
            <w:left w:w="108" w:type="dxa"/>
            <w:bottom w:w="0" w:type="dxa"/>
            <w:right w:w="108" w:type="dxa"/>
          </w:tblCellMar>
        </w:tblPrEx>
        <w:tc>
          <w:tcPr>
            <w:tcW w:w="2466" w:type="pct"/>
            <w:vAlign w:val="bottom"/>
          </w:tcPr>
          <w:p w14:paraId="32D1F63F">
            <w:pPr>
              <w:pStyle w:val="55"/>
              <w:spacing w:before="31" w:after="31"/>
            </w:pPr>
            <w:r>
              <w:rPr>
                <w:rFonts w:eastAsia="方正书宋简体"/>
                <w:sz w:val="18"/>
                <w:szCs w:val="18"/>
              </w:rPr>
              <w:t>（</w:t>
            </w:r>
            <w:r>
              <w:rPr>
                <w:rFonts w:hint="eastAsia" w:eastAsia="方正书宋简体"/>
                <w:sz w:val="18"/>
                <w:szCs w:val="18"/>
              </w:rPr>
              <w:t>a</w:t>
            </w:r>
            <w:r>
              <w:rPr>
                <w:rFonts w:eastAsia="方正书宋简体"/>
                <w:sz w:val="18"/>
                <w:szCs w:val="18"/>
              </w:rPr>
              <w:t>）</w:t>
            </w:r>
            <w:r>
              <w:rPr>
                <w:rFonts w:hint="eastAsia" w:eastAsia="方正书宋简体"/>
                <w:sz w:val="18"/>
                <w:szCs w:val="18"/>
              </w:rPr>
              <w:t>柱脚石在地面上时</w:t>
            </w:r>
          </w:p>
        </w:tc>
        <w:tc>
          <w:tcPr>
            <w:tcW w:w="2534" w:type="pct"/>
            <w:vAlign w:val="bottom"/>
          </w:tcPr>
          <w:p w14:paraId="3BE09878">
            <w:pPr>
              <w:pStyle w:val="55"/>
              <w:spacing w:before="31" w:after="31"/>
              <w:rPr>
                <w:rFonts w:eastAsia="方正书宋简体"/>
                <w:b/>
                <w:sz w:val="18"/>
                <w:szCs w:val="18"/>
              </w:rPr>
            </w:pPr>
            <w:r>
              <w:rPr>
                <w:rFonts w:eastAsia="方正书宋简体"/>
                <w:sz w:val="18"/>
                <w:szCs w:val="18"/>
              </w:rPr>
              <w:t>（</w:t>
            </w:r>
            <w:r>
              <w:rPr>
                <w:rFonts w:hint="eastAsia" w:eastAsia="方正书宋简体"/>
                <w:sz w:val="18"/>
                <w:szCs w:val="18"/>
              </w:rPr>
              <w:t>b</w:t>
            </w:r>
            <w:r>
              <w:rPr>
                <w:rFonts w:eastAsia="方正书宋简体"/>
                <w:sz w:val="18"/>
                <w:szCs w:val="18"/>
              </w:rPr>
              <w:t>）</w:t>
            </w:r>
            <w:r>
              <w:rPr>
                <w:rFonts w:hint="eastAsia" w:eastAsia="方正书宋简体"/>
                <w:sz w:val="18"/>
                <w:szCs w:val="18"/>
              </w:rPr>
              <w:t>柱脚石在地面下时</w:t>
            </w:r>
          </w:p>
        </w:tc>
      </w:tr>
      <w:tr w14:paraId="02FFDB3D">
        <w:tblPrEx>
          <w:tblCellMar>
            <w:top w:w="0" w:type="dxa"/>
            <w:left w:w="108" w:type="dxa"/>
            <w:bottom w:w="0" w:type="dxa"/>
            <w:right w:w="108" w:type="dxa"/>
          </w:tblCellMar>
        </w:tblPrEx>
        <w:tc>
          <w:tcPr>
            <w:tcW w:w="5000" w:type="pct"/>
            <w:gridSpan w:val="2"/>
            <w:vAlign w:val="bottom"/>
          </w:tcPr>
          <w:p w14:paraId="40E096A4">
            <w:pPr>
              <w:pStyle w:val="55"/>
              <w:spacing w:before="31" w:after="31"/>
            </w:pPr>
            <w:r>
              <w:rPr>
                <w:rFonts w:hint="eastAsia" w:eastAsia="黑体" w:cs="Times New Roman"/>
                <w:sz w:val="18"/>
                <w:szCs w:val="18"/>
              </w:rPr>
              <w:t>图</w:t>
            </w:r>
            <w:r>
              <w:rPr>
                <w:rFonts w:eastAsia="黑体" w:cs="Times New Roman"/>
                <w:sz w:val="18"/>
                <w:szCs w:val="18"/>
              </w:rPr>
              <w:t>C.3.10</w:t>
            </w:r>
            <w:r>
              <w:rPr>
                <w:rFonts w:hint="eastAsia" w:eastAsia="黑体" w:cs="Times New Roman"/>
                <w:sz w:val="18"/>
                <w:szCs w:val="18"/>
              </w:rPr>
              <w:t xml:space="preserve"> 柱脚石加固示意图</w:t>
            </w:r>
          </w:p>
        </w:tc>
      </w:tr>
    </w:tbl>
    <w:p w14:paraId="2C8A557B">
      <w:pPr>
        <w:pStyle w:val="4"/>
      </w:pPr>
      <w:r>
        <w:rPr>
          <w:rFonts w:hint="eastAsia"/>
          <w:b/>
        </w:rPr>
        <w:t>C.</w:t>
      </w:r>
      <w:r>
        <w:rPr>
          <w:b/>
        </w:rPr>
        <w:t>3.</w:t>
      </w:r>
      <w:r>
        <w:rPr>
          <w:rFonts w:hint="eastAsia"/>
          <w:b/>
        </w:rPr>
        <w:t>11</w:t>
      </w:r>
      <w:r>
        <w:t xml:space="preserve">  </w:t>
      </w:r>
      <w:r>
        <w:rPr>
          <w:rFonts w:hint="eastAsia"/>
        </w:rPr>
        <w:t>加固开裂木柱时，对于自然劈裂的裂缝，如果裂缝宽度≤20mm时，可以使用腻子或环氧树脂进行填充。对于宽度较大的裂缝，裂缝宽度达到20mm~30mm时，需要使用与木柱同材质的木条进行嵌填。（图</w:t>
      </w:r>
      <w:r>
        <w:t>C.3.11</w:t>
      </w:r>
      <w:r>
        <w:rPr>
          <w:rFonts w:hint="eastAsia"/>
        </w:rPr>
        <w:t>）。裂缝宽度＞30mm时，应对木柱进行局部替换或整根替换。</w:t>
      </w:r>
    </w:p>
    <w:tbl>
      <w:tblPr>
        <w:tblStyle w:val="28"/>
        <w:tblW w:w="4999" w:type="pct"/>
        <w:tblInd w:w="0" w:type="dxa"/>
        <w:tblLayout w:type="autofit"/>
        <w:tblCellMar>
          <w:top w:w="0" w:type="dxa"/>
          <w:left w:w="108" w:type="dxa"/>
          <w:bottom w:w="0" w:type="dxa"/>
          <w:right w:w="108" w:type="dxa"/>
        </w:tblCellMar>
      </w:tblPr>
      <w:tblGrid>
        <w:gridCol w:w="8150"/>
      </w:tblGrid>
      <w:tr w14:paraId="19E5D7E6">
        <w:tc>
          <w:tcPr>
            <w:tcW w:w="5000" w:type="pct"/>
            <w:vAlign w:val="bottom"/>
          </w:tcPr>
          <w:p w14:paraId="51FE0A81">
            <w:pPr>
              <w:pStyle w:val="55"/>
              <w:spacing w:before="31" w:after="31"/>
            </w:pPr>
            <w:r>
              <w:drawing>
                <wp:inline distT="0" distB="0" distL="114300" distR="114300">
                  <wp:extent cx="3416300" cy="1795780"/>
                  <wp:effectExtent l="0" t="0" r="0" b="2540"/>
                  <wp:docPr id="2927759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75940" name="图片 7"/>
                          <pic:cNvPicPr>
                            <a:picLocks noChangeAspect="1"/>
                          </pic:cNvPicPr>
                        </pic:nvPicPr>
                        <pic:blipFill>
                          <a:blip r:embed="rId503"/>
                          <a:stretch>
                            <a:fillRect/>
                          </a:stretch>
                        </pic:blipFill>
                        <pic:spPr>
                          <a:xfrm>
                            <a:off x="0" y="0"/>
                            <a:ext cx="3416300" cy="1795780"/>
                          </a:xfrm>
                          <a:prstGeom prst="rect">
                            <a:avLst/>
                          </a:prstGeom>
                          <a:noFill/>
                          <a:ln>
                            <a:noFill/>
                          </a:ln>
                        </pic:spPr>
                      </pic:pic>
                    </a:graphicData>
                  </a:graphic>
                </wp:inline>
              </w:drawing>
            </w:r>
          </w:p>
        </w:tc>
      </w:tr>
      <w:tr w14:paraId="13B10296">
        <w:tblPrEx>
          <w:tblCellMar>
            <w:top w:w="0" w:type="dxa"/>
            <w:left w:w="108" w:type="dxa"/>
            <w:bottom w:w="0" w:type="dxa"/>
            <w:right w:w="108" w:type="dxa"/>
          </w:tblCellMar>
        </w:tblPrEx>
        <w:tc>
          <w:tcPr>
            <w:tcW w:w="5000" w:type="pct"/>
            <w:vAlign w:val="bottom"/>
          </w:tcPr>
          <w:p w14:paraId="21984EA6">
            <w:pPr>
              <w:pStyle w:val="55"/>
              <w:spacing w:before="31" w:after="31"/>
            </w:pPr>
            <w:r>
              <w:rPr>
                <w:rFonts w:hint="eastAsia"/>
              </w:rPr>
              <w:t>图</w:t>
            </w:r>
            <w:r>
              <w:t>C.3.11</w:t>
            </w:r>
            <w:r>
              <w:rPr>
                <w:rFonts w:hint="eastAsia"/>
              </w:rPr>
              <w:t xml:space="preserve"> 加固开裂木柱示意图</w:t>
            </w:r>
          </w:p>
          <w:p w14:paraId="6B0E03B4">
            <w:pPr>
              <w:pStyle w:val="55"/>
              <w:spacing w:before="31" w:after="31"/>
            </w:pPr>
            <w:r>
              <w:rPr>
                <w:rFonts w:hint="eastAsia"/>
              </w:rPr>
              <w:t>1—扁钢箍；2—裂缝；3—不锈钢钢钉</w:t>
            </w:r>
          </w:p>
        </w:tc>
      </w:tr>
    </w:tbl>
    <w:p w14:paraId="08BCE114">
      <w:pPr>
        <w:pStyle w:val="4"/>
      </w:pPr>
      <w:bookmarkStart w:id="1168" w:name="_Hlk207091227"/>
      <w:r>
        <w:rPr>
          <w:rFonts w:hint="eastAsia"/>
          <w:b/>
        </w:rPr>
        <w:t>C.</w:t>
      </w:r>
      <w:r>
        <w:rPr>
          <w:b/>
        </w:rPr>
        <w:t>3.</w:t>
      </w:r>
      <w:r>
        <w:rPr>
          <w:rFonts w:hint="eastAsia"/>
          <w:b/>
        </w:rPr>
        <w:t>12</w:t>
      </w:r>
      <w:bookmarkEnd w:id="1168"/>
      <w:r>
        <w:t xml:space="preserve">  </w:t>
      </w:r>
      <w:r>
        <w:rPr>
          <w:rFonts w:hint="eastAsia"/>
        </w:rPr>
        <w:t>对于木梁直接搁置在土墙或石墙顶面且梁下端无任何措施时，应在梁底增设梁垫。梁垫截面为200mm×200mm，长度600mm。（图</w:t>
      </w:r>
      <w:r>
        <w:t>C.3.12</w:t>
      </w:r>
      <w:r>
        <w:rPr>
          <w:rFonts w:hint="eastAsia"/>
        </w:rPr>
        <w:t>）。本条石墙专指采用不规则石块砌筑的石墙。施工在作用前应做好临时支撑，保证施工期间的安全。</w:t>
      </w:r>
    </w:p>
    <w:tbl>
      <w:tblPr>
        <w:tblStyle w:val="28"/>
        <w:tblW w:w="4999" w:type="pct"/>
        <w:tblInd w:w="0" w:type="dxa"/>
        <w:tblLayout w:type="autofit"/>
        <w:tblCellMar>
          <w:top w:w="0" w:type="dxa"/>
          <w:left w:w="108" w:type="dxa"/>
          <w:bottom w:w="0" w:type="dxa"/>
          <w:right w:w="108" w:type="dxa"/>
        </w:tblCellMar>
      </w:tblPr>
      <w:tblGrid>
        <w:gridCol w:w="8150"/>
      </w:tblGrid>
      <w:tr w14:paraId="7222B8A6">
        <w:tblPrEx>
          <w:tblCellMar>
            <w:top w:w="0" w:type="dxa"/>
            <w:left w:w="108" w:type="dxa"/>
            <w:bottom w:w="0" w:type="dxa"/>
            <w:right w:w="108" w:type="dxa"/>
          </w:tblCellMar>
        </w:tblPrEx>
        <w:tc>
          <w:tcPr>
            <w:tcW w:w="5000" w:type="pct"/>
            <w:vAlign w:val="bottom"/>
          </w:tcPr>
          <w:p w14:paraId="511372AA">
            <w:pPr>
              <w:pStyle w:val="55"/>
              <w:spacing w:before="31" w:after="31"/>
            </w:pPr>
            <w:r>
              <w:drawing>
                <wp:inline distT="0" distB="0" distL="114300" distR="114300">
                  <wp:extent cx="2720340" cy="2110740"/>
                  <wp:effectExtent l="0" t="0" r="7620" b="7620"/>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a:blip r:embed="rId504"/>
                          <a:stretch>
                            <a:fillRect/>
                          </a:stretch>
                        </pic:blipFill>
                        <pic:spPr>
                          <a:xfrm>
                            <a:off x="0" y="0"/>
                            <a:ext cx="2720340" cy="2110740"/>
                          </a:xfrm>
                          <a:prstGeom prst="rect">
                            <a:avLst/>
                          </a:prstGeom>
                          <a:noFill/>
                          <a:ln>
                            <a:noFill/>
                          </a:ln>
                        </pic:spPr>
                      </pic:pic>
                    </a:graphicData>
                  </a:graphic>
                </wp:inline>
              </w:drawing>
            </w:r>
          </w:p>
        </w:tc>
      </w:tr>
      <w:tr w14:paraId="4C68CA35">
        <w:tblPrEx>
          <w:tblCellMar>
            <w:top w:w="0" w:type="dxa"/>
            <w:left w:w="108" w:type="dxa"/>
            <w:bottom w:w="0" w:type="dxa"/>
            <w:right w:w="108" w:type="dxa"/>
          </w:tblCellMar>
        </w:tblPrEx>
        <w:tc>
          <w:tcPr>
            <w:tcW w:w="5000" w:type="pct"/>
            <w:vAlign w:val="bottom"/>
          </w:tcPr>
          <w:p w14:paraId="3912B0CA">
            <w:pPr>
              <w:pStyle w:val="55"/>
              <w:spacing w:before="31" w:after="31"/>
            </w:pPr>
            <w:r>
              <w:rPr>
                <w:rFonts w:hint="eastAsia"/>
              </w:rPr>
              <w:t>图</w:t>
            </w:r>
            <w:r>
              <w:t>C.3.12</w:t>
            </w:r>
            <w:r>
              <w:rPr>
                <w:rFonts w:hint="eastAsia"/>
              </w:rPr>
              <w:t xml:space="preserve"> 木梁下方增设梁垫示意图</w:t>
            </w:r>
          </w:p>
          <w:p w14:paraId="1D151239">
            <w:pPr>
              <w:pStyle w:val="55"/>
              <w:spacing w:before="31" w:after="31"/>
            </w:pPr>
            <w:r>
              <w:rPr>
                <w:rFonts w:hint="eastAsia"/>
              </w:rPr>
              <w:t>1-石墙/土墙；2-既有木梁；3-增设梁垫</w:t>
            </w:r>
          </w:p>
        </w:tc>
      </w:tr>
    </w:tbl>
    <w:p w14:paraId="6B222140">
      <w:pPr>
        <w:pStyle w:val="4"/>
      </w:pPr>
      <w:bookmarkStart w:id="1169" w:name="_Hlk207091241"/>
      <w:r>
        <w:rPr>
          <w:rFonts w:hint="eastAsia"/>
          <w:b/>
        </w:rPr>
        <w:t>C.</w:t>
      </w:r>
      <w:r>
        <w:rPr>
          <w:b/>
        </w:rPr>
        <w:t>3.</w:t>
      </w:r>
      <w:r>
        <w:rPr>
          <w:rFonts w:hint="eastAsia"/>
          <w:b/>
        </w:rPr>
        <w:t>1</w:t>
      </w:r>
      <w:bookmarkEnd w:id="1169"/>
      <w:r>
        <w:rPr>
          <w:rFonts w:hint="eastAsia"/>
          <w:b/>
        </w:rPr>
        <w:t>3</w:t>
      </w:r>
      <w:r>
        <w:t xml:space="preserve">  </w:t>
      </w:r>
      <w:r>
        <w:rPr>
          <w:rFonts w:hint="eastAsia"/>
        </w:rPr>
        <w:t>既有木柱顶节点加固做法如图（图</w:t>
      </w:r>
      <w:r>
        <w:t>C.3.1</w:t>
      </w:r>
      <w:r>
        <w:rPr>
          <w:rFonts w:hint="eastAsia"/>
        </w:rPr>
        <w:t>3）。</w:t>
      </w:r>
    </w:p>
    <w:tbl>
      <w:tblPr>
        <w:tblStyle w:val="28"/>
        <w:tblW w:w="5000" w:type="pct"/>
        <w:tblInd w:w="0" w:type="dxa"/>
        <w:tblLayout w:type="autofit"/>
        <w:tblCellMar>
          <w:top w:w="0" w:type="dxa"/>
          <w:left w:w="108" w:type="dxa"/>
          <w:bottom w:w="0" w:type="dxa"/>
          <w:right w:w="108" w:type="dxa"/>
        </w:tblCellMar>
      </w:tblPr>
      <w:tblGrid>
        <w:gridCol w:w="8152"/>
      </w:tblGrid>
      <w:tr w14:paraId="62C15D08">
        <w:tblPrEx>
          <w:tblCellMar>
            <w:top w:w="0" w:type="dxa"/>
            <w:left w:w="108" w:type="dxa"/>
            <w:bottom w:w="0" w:type="dxa"/>
            <w:right w:w="108" w:type="dxa"/>
          </w:tblCellMar>
        </w:tblPrEx>
        <w:tc>
          <w:tcPr>
            <w:tcW w:w="5000" w:type="pct"/>
            <w:vAlign w:val="bottom"/>
          </w:tcPr>
          <w:p w14:paraId="3C6751FE">
            <w:pPr>
              <w:pStyle w:val="55"/>
              <w:spacing w:before="31" w:after="31"/>
            </w:pPr>
            <w:r>
              <w:drawing>
                <wp:inline distT="0" distB="0" distL="114300" distR="114300">
                  <wp:extent cx="2301240" cy="1791970"/>
                  <wp:effectExtent l="0" t="0" r="3810" b="0"/>
                  <wp:docPr id="92916999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69996" name="图片 14"/>
                          <pic:cNvPicPr>
                            <a:picLocks noChangeAspect="1"/>
                          </pic:cNvPicPr>
                        </pic:nvPicPr>
                        <pic:blipFill>
                          <a:blip r:embed="rId505"/>
                          <a:stretch>
                            <a:fillRect/>
                          </a:stretch>
                        </pic:blipFill>
                        <pic:spPr>
                          <a:xfrm>
                            <a:off x="0" y="0"/>
                            <a:ext cx="2325377" cy="1810672"/>
                          </a:xfrm>
                          <a:prstGeom prst="rect">
                            <a:avLst/>
                          </a:prstGeom>
                          <a:noFill/>
                          <a:ln>
                            <a:noFill/>
                          </a:ln>
                        </pic:spPr>
                      </pic:pic>
                    </a:graphicData>
                  </a:graphic>
                </wp:inline>
              </w:drawing>
            </w:r>
            <w:r>
              <w:drawing>
                <wp:inline distT="0" distB="0" distL="114300" distR="114300">
                  <wp:extent cx="2574290" cy="2094865"/>
                  <wp:effectExtent l="0" t="0" r="1270" b="8255"/>
                  <wp:docPr id="4101591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59135" name="图片 15"/>
                          <pic:cNvPicPr>
                            <a:picLocks noChangeAspect="1"/>
                          </pic:cNvPicPr>
                        </pic:nvPicPr>
                        <pic:blipFill>
                          <a:blip r:embed="rId506"/>
                          <a:stretch>
                            <a:fillRect/>
                          </a:stretch>
                        </pic:blipFill>
                        <pic:spPr>
                          <a:xfrm>
                            <a:off x="0" y="0"/>
                            <a:ext cx="2574290" cy="2094865"/>
                          </a:xfrm>
                          <a:prstGeom prst="rect">
                            <a:avLst/>
                          </a:prstGeom>
                          <a:noFill/>
                          <a:ln>
                            <a:noFill/>
                          </a:ln>
                        </pic:spPr>
                      </pic:pic>
                    </a:graphicData>
                  </a:graphic>
                </wp:inline>
              </w:drawing>
            </w:r>
          </w:p>
        </w:tc>
      </w:tr>
      <w:tr w14:paraId="7D76572F">
        <w:trPr>
          <w:trHeight w:val="90" w:hRule="atLeast"/>
        </w:trPr>
        <w:tc>
          <w:tcPr>
            <w:tcW w:w="5000" w:type="pct"/>
            <w:vAlign w:val="bottom"/>
          </w:tcPr>
          <w:p w14:paraId="2F1ADAFE">
            <w:pPr>
              <w:pStyle w:val="55"/>
              <w:spacing w:before="31" w:after="31"/>
            </w:pPr>
            <w:r>
              <w:rPr>
                <w:rFonts w:hint="eastAsia"/>
              </w:rPr>
              <w:t>图</w:t>
            </w:r>
            <w:r>
              <w:t>C.3.1</w:t>
            </w:r>
            <w:r>
              <w:rPr>
                <w:rFonts w:hint="eastAsia"/>
              </w:rPr>
              <w:t>3</w:t>
            </w:r>
            <w:r>
              <w:t>-1</w:t>
            </w:r>
            <w:r>
              <w:rPr>
                <w:rFonts w:hint="eastAsia"/>
              </w:rPr>
              <w:t xml:space="preserve"> 木柱柱顶连接处加固图</w:t>
            </w:r>
          </w:p>
          <w:p w14:paraId="34500902">
            <w:pPr>
              <w:pStyle w:val="55"/>
              <w:spacing w:before="31" w:after="31"/>
            </w:pPr>
            <w:r>
              <w:rPr>
                <w:rFonts w:hint="eastAsia"/>
              </w:rPr>
              <w:t>1—M18保险螺栓；2—4M12普通对穿螺栓</w:t>
            </w:r>
          </w:p>
        </w:tc>
      </w:tr>
      <w:tr w14:paraId="40FA2605">
        <w:tblPrEx>
          <w:tblCellMar>
            <w:top w:w="0" w:type="dxa"/>
            <w:left w:w="108" w:type="dxa"/>
            <w:bottom w:w="0" w:type="dxa"/>
            <w:right w:w="108" w:type="dxa"/>
          </w:tblCellMar>
        </w:tblPrEx>
        <w:tc>
          <w:tcPr>
            <w:tcW w:w="5000" w:type="pct"/>
            <w:vAlign w:val="bottom"/>
          </w:tcPr>
          <w:p w14:paraId="30978C9D">
            <w:pPr>
              <w:pStyle w:val="55"/>
              <w:spacing w:before="31" w:after="31"/>
            </w:pPr>
            <w:r>
              <w:drawing>
                <wp:inline distT="0" distB="0" distL="114300" distR="114300">
                  <wp:extent cx="2407285" cy="1587500"/>
                  <wp:effectExtent l="0" t="0" r="0" b="0"/>
                  <wp:docPr id="184317888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78884" name="图片 23"/>
                          <pic:cNvPicPr>
                            <a:picLocks noChangeAspect="1"/>
                          </pic:cNvPicPr>
                        </pic:nvPicPr>
                        <pic:blipFill>
                          <a:blip r:embed="rId507"/>
                          <a:stretch>
                            <a:fillRect/>
                          </a:stretch>
                        </pic:blipFill>
                        <pic:spPr>
                          <a:xfrm>
                            <a:off x="0" y="0"/>
                            <a:ext cx="2408147" cy="1587943"/>
                          </a:xfrm>
                          <a:prstGeom prst="rect">
                            <a:avLst/>
                          </a:prstGeom>
                          <a:noFill/>
                          <a:ln>
                            <a:noFill/>
                          </a:ln>
                        </pic:spPr>
                      </pic:pic>
                    </a:graphicData>
                  </a:graphic>
                </wp:inline>
              </w:drawing>
            </w:r>
            <w:r>
              <w:drawing>
                <wp:inline distT="0" distB="0" distL="114300" distR="114300">
                  <wp:extent cx="2360295" cy="1710055"/>
                  <wp:effectExtent l="0" t="0" r="1905" b="4445"/>
                  <wp:docPr id="736484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8449" name="图片 25"/>
                          <pic:cNvPicPr>
                            <a:picLocks noChangeAspect="1"/>
                          </pic:cNvPicPr>
                        </pic:nvPicPr>
                        <pic:blipFill>
                          <a:blip r:embed="rId508"/>
                          <a:stretch>
                            <a:fillRect/>
                          </a:stretch>
                        </pic:blipFill>
                        <pic:spPr>
                          <a:xfrm>
                            <a:off x="0" y="0"/>
                            <a:ext cx="2367307" cy="1715618"/>
                          </a:xfrm>
                          <a:prstGeom prst="rect">
                            <a:avLst/>
                          </a:prstGeom>
                          <a:noFill/>
                          <a:ln>
                            <a:noFill/>
                          </a:ln>
                        </pic:spPr>
                      </pic:pic>
                    </a:graphicData>
                  </a:graphic>
                </wp:inline>
              </w:drawing>
            </w:r>
          </w:p>
        </w:tc>
      </w:tr>
      <w:tr w14:paraId="027B901A">
        <w:tblPrEx>
          <w:tblCellMar>
            <w:top w:w="0" w:type="dxa"/>
            <w:left w:w="108" w:type="dxa"/>
            <w:bottom w:w="0" w:type="dxa"/>
            <w:right w:w="108" w:type="dxa"/>
          </w:tblCellMar>
        </w:tblPrEx>
        <w:trPr>
          <w:trHeight w:val="90" w:hRule="atLeast"/>
        </w:trPr>
        <w:tc>
          <w:tcPr>
            <w:tcW w:w="5000" w:type="pct"/>
            <w:vAlign w:val="bottom"/>
          </w:tcPr>
          <w:p w14:paraId="5791767D">
            <w:pPr>
              <w:pStyle w:val="55"/>
              <w:spacing w:before="31" w:after="31"/>
            </w:pPr>
            <w:r>
              <w:rPr>
                <w:rFonts w:hint="eastAsia"/>
              </w:rPr>
              <w:t>图</w:t>
            </w:r>
            <w:r>
              <w:t>C.3.1</w:t>
            </w:r>
            <w:r>
              <w:rPr>
                <w:rFonts w:hint="eastAsia"/>
              </w:rPr>
              <w:t>3-2 木柱柱顶连接处加固图</w:t>
            </w:r>
          </w:p>
        </w:tc>
      </w:tr>
    </w:tbl>
    <w:p w14:paraId="5953DE21">
      <w:pPr>
        <w:pStyle w:val="4"/>
      </w:pPr>
      <w:r>
        <w:rPr>
          <w:rFonts w:hint="eastAsia"/>
          <w:b/>
        </w:rPr>
        <w:t>C.</w:t>
      </w:r>
      <w:r>
        <w:rPr>
          <w:b/>
        </w:rPr>
        <w:t>3.</w:t>
      </w:r>
      <w:r>
        <w:rPr>
          <w:rFonts w:hint="eastAsia"/>
          <w:b/>
        </w:rPr>
        <w:t>14</w:t>
      </w:r>
      <w:r>
        <w:t xml:space="preserve">  </w:t>
      </w:r>
      <w:r>
        <w:rPr>
          <w:rFonts w:hint="eastAsia"/>
        </w:rPr>
        <w:t>当柱顶与梁底、柱脚与梁顶接触面不是水平面，或节点有歪闪、变形、位移时，应在梁柱节点增设扒钉或连接铁件（图</w:t>
      </w:r>
      <w:r>
        <w:t>C.3.14</w:t>
      </w:r>
      <w:r>
        <w:rPr>
          <w:rFonts w:hint="eastAsia"/>
        </w:rPr>
        <w:t>）。</w:t>
      </w:r>
    </w:p>
    <w:tbl>
      <w:tblPr>
        <w:tblStyle w:val="28"/>
        <w:tblW w:w="4999" w:type="pct"/>
        <w:tblInd w:w="0" w:type="dxa"/>
        <w:tblLayout w:type="autofit"/>
        <w:tblCellMar>
          <w:top w:w="0" w:type="dxa"/>
          <w:left w:w="108" w:type="dxa"/>
          <w:bottom w:w="0" w:type="dxa"/>
          <w:right w:w="108" w:type="dxa"/>
        </w:tblCellMar>
      </w:tblPr>
      <w:tblGrid>
        <w:gridCol w:w="8150"/>
      </w:tblGrid>
      <w:tr w14:paraId="482530EB">
        <w:tblPrEx>
          <w:tblCellMar>
            <w:top w:w="0" w:type="dxa"/>
            <w:left w:w="108" w:type="dxa"/>
            <w:bottom w:w="0" w:type="dxa"/>
            <w:right w:w="108" w:type="dxa"/>
          </w:tblCellMar>
        </w:tblPrEx>
        <w:tc>
          <w:tcPr>
            <w:tcW w:w="5000" w:type="pct"/>
            <w:vAlign w:val="bottom"/>
          </w:tcPr>
          <w:p w14:paraId="017D8A09">
            <w:pPr>
              <w:pStyle w:val="55"/>
              <w:spacing w:before="31" w:after="31"/>
            </w:pPr>
            <w:r>
              <w:drawing>
                <wp:inline distT="0" distB="0" distL="114300" distR="114300">
                  <wp:extent cx="2557780" cy="2289810"/>
                  <wp:effectExtent l="0" t="0" r="13970" b="15240"/>
                  <wp:docPr id="876228536" name="图片 87622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28536" name="图片 876228536"/>
                          <pic:cNvPicPr>
                            <a:picLocks noChangeAspect="1"/>
                          </pic:cNvPicPr>
                        </pic:nvPicPr>
                        <pic:blipFill>
                          <a:blip r:embed="rId509"/>
                          <a:stretch>
                            <a:fillRect/>
                          </a:stretch>
                        </pic:blipFill>
                        <pic:spPr>
                          <a:xfrm>
                            <a:off x="0" y="0"/>
                            <a:ext cx="2557780" cy="2289810"/>
                          </a:xfrm>
                          <a:prstGeom prst="rect">
                            <a:avLst/>
                          </a:prstGeom>
                          <a:noFill/>
                          <a:ln>
                            <a:noFill/>
                          </a:ln>
                        </pic:spPr>
                      </pic:pic>
                    </a:graphicData>
                  </a:graphic>
                </wp:inline>
              </w:drawing>
            </w:r>
          </w:p>
        </w:tc>
      </w:tr>
      <w:tr w14:paraId="08044E23">
        <w:tblPrEx>
          <w:tblCellMar>
            <w:top w:w="0" w:type="dxa"/>
            <w:left w:w="108" w:type="dxa"/>
            <w:bottom w:w="0" w:type="dxa"/>
            <w:right w:w="108" w:type="dxa"/>
          </w:tblCellMar>
        </w:tblPrEx>
        <w:tc>
          <w:tcPr>
            <w:tcW w:w="5000" w:type="pct"/>
            <w:vAlign w:val="bottom"/>
          </w:tcPr>
          <w:p w14:paraId="55D2834F">
            <w:pPr>
              <w:pStyle w:val="55"/>
              <w:spacing w:before="31" w:after="31"/>
            </w:pPr>
            <w:r>
              <w:rPr>
                <w:rFonts w:hint="eastAsia"/>
              </w:rPr>
              <w:t>图</w:t>
            </w:r>
            <w:r>
              <w:t>C.3.14</w:t>
            </w:r>
            <w:r>
              <w:rPr>
                <w:rFonts w:hint="eastAsia"/>
              </w:rPr>
              <w:t xml:space="preserve"> 梁柱节点增设扒钉或连接铁件图</w:t>
            </w:r>
          </w:p>
        </w:tc>
      </w:tr>
    </w:tbl>
    <w:p w14:paraId="28363F6D">
      <w:pPr>
        <w:pStyle w:val="4"/>
      </w:pPr>
      <w:r>
        <w:rPr>
          <w:rFonts w:hint="eastAsia"/>
          <w:b/>
        </w:rPr>
        <w:t>C.</w:t>
      </w:r>
      <w:r>
        <w:rPr>
          <w:b/>
        </w:rPr>
        <w:t>3.</w:t>
      </w:r>
      <w:r>
        <w:rPr>
          <w:rFonts w:hint="eastAsia"/>
          <w:b/>
        </w:rPr>
        <w:t>15</w:t>
      </w:r>
      <w:r>
        <w:t xml:space="preserve">  </w:t>
      </w:r>
      <w:r>
        <w:rPr>
          <w:rFonts w:hint="eastAsia"/>
        </w:rPr>
        <w:t>对于木梁直接搁置在土墙顶面且梁端无任何连接锚固措施时，应在木梁拼接处增设扒钉（图</w:t>
      </w:r>
      <w:r>
        <w:t>C.3.15</w:t>
      </w:r>
      <w:r>
        <w:rPr>
          <w:rFonts w:hint="eastAsia"/>
        </w:rPr>
        <w:t>）。</w:t>
      </w:r>
    </w:p>
    <w:tbl>
      <w:tblPr>
        <w:tblStyle w:val="28"/>
        <w:tblW w:w="5000" w:type="pct"/>
        <w:tblInd w:w="0" w:type="dxa"/>
        <w:tblLayout w:type="autofit"/>
        <w:tblCellMar>
          <w:top w:w="0" w:type="dxa"/>
          <w:left w:w="108" w:type="dxa"/>
          <w:bottom w:w="0" w:type="dxa"/>
          <w:right w:w="108" w:type="dxa"/>
        </w:tblCellMar>
      </w:tblPr>
      <w:tblGrid>
        <w:gridCol w:w="8152"/>
      </w:tblGrid>
      <w:tr w14:paraId="67200323">
        <w:tblPrEx>
          <w:tblCellMar>
            <w:top w:w="0" w:type="dxa"/>
            <w:left w:w="108" w:type="dxa"/>
            <w:bottom w:w="0" w:type="dxa"/>
            <w:right w:w="108" w:type="dxa"/>
          </w:tblCellMar>
        </w:tblPrEx>
        <w:tc>
          <w:tcPr>
            <w:tcW w:w="5000" w:type="pct"/>
            <w:vAlign w:val="bottom"/>
          </w:tcPr>
          <w:p w14:paraId="442C009B">
            <w:pPr>
              <w:pStyle w:val="55"/>
              <w:spacing w:before="31" w:after="31"/>
            </w:pPr>
            <w:r>
              <w:drawing>
                <wp:inline distT="0" distB="0" distL="114300" distR="114300">
                  <wp:extent cx="3630930" cy="1629410"/>
                  <wp:effectExtent l="0" t="0" r="7620" b="8890"/>
                  <wp:docPr id="6084779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77922" name="图片 17"/>
                          <pic:cNvPicPr>
                            <a:picLocks noChangeAspect="1"/>
                          </pic:cNvPicPr>
                        </pic:nvPicPr>
                        <pic:blipFill>
                          <a:blip r:embed="rId510"/>
                          <a:stretch>
                            <a:fillRect/>
                          </a:stretch>
                        </pic:blipFill>
                        <pic:spPr>
                          <a:xfrm>
                            <a:off x="0" y="0"/>
                            <a:ext cx="3643850" cy="1635162"/>
                          </a:xfrm>
                          <a:prstGeom prst="rect">
                            <a:avLst/>
                          </a:prstGeom>
                          <a:noFill/>
                          <a:ln>
                            <a:noFill/>
                          </a:ln>
                        </pic:spPr>
                      </pic:pic>
                    </a:graphicData>
                  </a:graphic>
                </wp:inline>
              </w:drawing>
            </w:r>
          </w:p>
        </w:tc>
      </w:tr>
      <w:tr w14:paraId="7ACE8787">
        <w:tblPrEx>
          <w:tblCellMar>
            <w:top w:w="0" w:type="dxa"/>
            <w:left w:w="108" w:type="dxa"/>
            <w:bottom w:w="0" w:type="dxa"/>
            <w:right w:w="108" w:type="dxa"/>
          </w:tblCellMar>
        </w:tblPrEx>
        <w:tc>
          <w:tcPr>
            <w:tcW w:w="5000" w:type="pct"/>
            <w:vAlign w:val="bottom"/>
          </w:tcPr>
          <w:p w14:paraId="522544D5">
            <w:pPr>
              <w:pStyle w:val="55"/>
              <w:spacing w:before="31" w:after="31"/>
            </w:pPr>
            <w:r>
              <w:rPr>
                <w:rFonts w:hint="eastAsia"/>
              </w:rPr>
              <w:t>图</w:t>
            </w:r>
            <w:r>
              <w:t>C.3.15</w:t>
            </w:r>
            <w:r>
              <w:rPr>
                <w:rFonts w:hint="eastAsia"/>
              </w:rPr>
              <w:t xml:space="preserve"> 木梁拼接处增设扒钉图</w:t>
            </w:r>
          </w:p>
        </w:tc>
      </w:tr>
    </w:tbl>
    <w:p w14:paraId="60323250">
      <w:pPr>
        <w:pStyle w:val="4"/>
        <w:rPr>
          <w:rFonts w:eastAsia="方正书宋简体"/>
          <w:highlight w:val="yellow"/>
        </w:rPr>
      </w:pPr>
      <w:r>
        <w:rPr>
          <w:rFonts w:hint="eastAsia"/>
          <w:b/>
        </w:rPr>
        <w:t>C.</w:t>
      </w:r>
      <w:r>
        <w:rPr>
          <w:b/>
        </w:rPr>
        <w:t>3.</w:t>
      </w:r>
      <w:r>
        <w:rPr>
          <w:rFonts w:hint="eastAsia"/>
          <w:b/>
        </w:rPr>
        <w:t>16</w:t>
      </w:r>
      <w:r>
        <w:t xml:space="preserve">  </w:t>
      </w:r>
      <w:r>
        <w:rPr>
          <w:rFonts w:hint="eastAsia"/>
        </w:rPr>
        <w:t>坡屋面木檩条与木梁缺少可靠连接时，采用图</w:t>
      </w:r>
      <w:r>
        <w:t>C.3.16</w:t>
      </w:r>
      <w:r>
        <w:rPr>
          <w:rFonts w:hint="eastAsia"/>
        </w:rPr>
        <w:t>做法加固。</w:t>
      </w:r>
    </w:p>
    <w:p w14:paraId="720ACFB6">
      <w:pPr>
        <w:pStyle w:val="55"/>
        <w:spacing w:before="31" w:after="31"/>
      </w:pPr>
      <w:r>
        <w:drawing>
          <wp:inline distT="0" distB="0" distL="114300" distR="114300">
            <wp:extent cx="2493010" cy="2000250"/>
            <wp:effectExtent l="0" t="0" r="2540" b="0"/>
            <wp:docPr id="9485239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523993" name="图片 12"/>
                    <pic:cNvPicPr>
                      <a:picLocks noChangeAspect="1"/>
                    </pic:cNvPicPr>
                  </pic:nvPicPr>
                  <pic:blipFill>
                    <a:blip r:embed="rId511"/>
                    <a:stretch>
                      <a:fillRect/>
                    </a:stretch>
                  </pic:blipFill>
                  <pic:spPr>
                    <a:xfrm>
                      <a:off x="0" y="0"/>
                      <a:ext cx="2493010" cy="2000250"/>
                    </a:xfrm>
                    <a:prstGeom prst="rect">
                      <a:avLst/>
                    </a:prstGeom>
                    <a:noFill/>
                    <a:ln>
                      <a:noFill/>
                    </a:ln>
                  </pic:spPr>
                </pic:pic>
              </a:graphicData>
            </a:graphic>
          </wp:inline>
        </w:drawing>
      </w:r>
    </w:p>
    <w:p w14:paraId="0A04104C">
      <w:pPr>
        <w:pStyle w:val="55"/>
        <w:spacing w:before="31" w:after="31"/>
      </w:pPr>
      <w:r>
        <w:rPr>
          <w:rFonts w:hint="eastAsia"/>
        </w:rPr>
        <w:t>图</w:t>
      </w:r>
      <w:r>
        <w:t>C.3.16</w:t>
      </w:r>
      <w:r>
        <w:rPr>
          <w:rFonts w:hint="eastAsia"/>
        </w:rPr>
        <w:t xml:space="preserve"> 檩条与木梁加固做法</w:t>
      </w:r>
    </w:p>
    <w:p w14:paraId="58F1E6C9">
      <w:pPr>
        <w:pStyle w:val="4"/>
      </w:pPr>
      <w:r>
        <w:rPr>
          <w:rFonts w:hint="eastAsia"/>
          <w:b/>
        </w:rPr>
        <w:t>C.</w:t>
      </w:r>
      <w:r>
        <w:rPr>
          <w:b/>
        </w:rPr>
        <w:t>3.</w:t>
      </w:r>
      <w:r>
        <w:rPr>
          <w:rFonts w:hint="eastAsia"/>
          <w:b/>
        </w:rPr>
        <w:t>17</w:t>
      </w:r>
      <w:r>
        <w:t xml:space="preserve">  </w:t>
      </w:r>
      <w:r>
        <w:rPr>
          <w:rFonts w:hint="eastAsia"/>
        </w:rPr>
        <w:t>平屋面檩条搁置于木梁上方时，搁置长度不小于木梁宽度，与另一跨檩条交错布置，如长度不满足要求，对檩条予以更换。</w:t>
      </w:r>
    </w:p>
    <w:p w14:paraId="5D3822E3">
      <w:pPr>
        <w:pStyle w:val="3"/>
      </w:pPr>
      <w:bookmarkStart w:id="1170" w:name="_Toc207111744"/>
      <w:r>
        <w:rPr>
          <w:rFonts w:hint="eastAsia"/>
        </w:rPr>
        <w:t>C.4</w:t>
      </w:r>
      <w:r>
        <w:t xml:space="preserve"> </w:t>
      </w:r>
      <w:r>
        <w:rPr>
          <w:rFonts w:hint="eastAsia"/>
        </w:rPr>
        <w:t>石-木结构农房加固设计</w:t>
      </w:r>
      <w:bookmarkEnd w:id="1170"/>
    </w:p>
    <w:p w14:paraId="08FD3C42">
      <w:pPr>
        <w:pStyle w:val="4"/>
      </w:pPr>
      <w:r>
        <w:rPr>
          <w:rFonts w:hint="eastAsia"/>
          <w:b/>
        </w:rPr>
        <w:t>C.4</w:t>
      </w:r>
      <w:r>
        <w:rPr>
          <w:b/>
        </w:rPr>
        <w:t>.</w:t>
      </w:r>
      <w:r>
        <w:rPr>
          <w:rFonts w:hint="eastAsia"/>
          <w:b/>
        </w:rPr>
        <w:t>1</w:t>
      </w:r>
      <w:r>
        <w:t xml:space="preserve">  </w:t>
      </w:r>
      <w:r>
        <w:rPr>
          <w:rFonts w:hint="eastAsia"/>
        </w:rPr>
        <w:t>采用高延性混凝土条带加固的石-木结构农房时，应同时设置竖向和水平条带。</w:t>
      </w:r>
    </w:p>
    <w:p w14:paraId="041760E9">
      <w:pPr>
        <w:pStyle w:val="4"/>
      </w:pPr>
      <w:r>
        <w:rPr>
          <w:rFonts w:hint="eastAsia"/>
          <w:b/>
        </w:rPr>
        <w:t>C.4</w:t>
      </w:r>
      <w:r>
        <w:rPr>
          <w:b/>
        </w:rPr>
        <w:t>.</w:t>
      </w:r>
      <w:r>
        <w:rPr>
          <w:rFonts w:hint="eastAsia"/>
          <w:b/>
        </w:rPr>
        <w:t>2</w:t>
      </w:r>
      <w:r>
        <w:t xml:space="preserve">  </w:t>
      </w:r>
      <w:r>
        <w:rPr>
          <w:rFonts w:hint="eastAsia"/>
        </w:rPr>
        <w:t>加固石砌体墙时，高延性混凝土条带设置部位同本导则</w:t>
      </w:r>
      <w:r>
        <w:t>C.</w:t>
      </w:r>
      <w:r>
        <w:rPr>
          <w:rFonts w:hint="eastAsia"/>
        </w:rPr>
        <w:t>3</w:t>
      </w:r>
      <w:r>
        <w:t>.</w:t>
      </w:r>
      <w:r>
        <w:rPr>
          <w:rFonts w:hint="eastAsia"/>
        </w:rPr>
        <w:t>4~</w:t>
      </w:r>
      <w:r>
        <w:t xml:space="preserve"> C.</w:t>
      </w:r>
      <w:r>
        <w:rPr>
          <w:rFonts w:hint="eastAsia"/>
        </w:rPr>
        <w:t>3</w:t>
      </w:r>
      <w:r>
        <w:t>.</w:t>
      </w:r>
      <w:r>
        <w:rPr>
          <w:rFonts w:hint="eastAsia"/>
        </w:rPr>
        <w:t>5相关规定，高延性混凝土条带的最小厚度和最小宽度应符合表</w:t>
      </w:r>
      <w:r>
        <w:t>C.4.</w:t>
      </w:r>
      <w:r>
        <w:rPr>
          <w:rFonts w:hint="eastAsia"/>
          <w:bCs w:val="0"/>
        </w:rPr>
        <w:t>3</w:t>
      </w:r>
      <w:r>
        <w:rPr>
          <w:rFonts w:hint="eastAsia"/>
        </w:rPr>
        <w:t>要求。</w:t>
      </w:r>
    </w:p>
    <w:p w14:paraId="509E6254">
      <w:pPr>
        <w:pStyle w:val="56"/>
      </w:pPr>
      <w:r>
        <w:t>表</w:t>
      </w:r>
      <w:r>
        <w:rPr>
          <w:bCs/>
        </w:rPr>
        <w:t>C.4.</w:t>
      </w:r>
      <w:r>
        <w:rPr>
          <w:rFonts w:hint="eastAsia"/>
          <w:bCs/>
        </w:rPr>
        <w:t>2</w:t>
      </w:r>
      <w:r>
        <w:rPr>
          <w:rFonts w:eastAsia="黑体"/>
        </w:rPr>
        <w:t xml:space="preserve">  </w:t>
      </w:r>
      <w:r>
        <w:t>高延性混凝土条带最小厚度和最小宽度</w:t>
      </w:r>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3267"/>
        <w:gridCol w:w="571"/>
        <w:gridCol w:w="2135"/>
        <w:gridCol w:w="1983"/>
      </w:tblGrid>
      <w:tr w14:paraId="4EAEAD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12" w:type="pct"/>
            <w:gridSpan w:val="2"/>
            <w:vAlign w:val="center"/>
          </w:tcPr>
          <w:p w14:paraId="672F1285">
            <w:pPr>
              <w:pStyle w:val="55"/>
              <w:spacing w:before="31" w:after="31"/>
            </w:pPr>
            <w:r>
              <w:rPr>
                <w:rFonts w:hint="eastAsia"/>
              </w:rPr>
              <w:t>设</w:t>
            </w:r>
            <w:r>
              <w:t>防烈度</w:t>
            </w:r>
          </w:p>
        </w:tc>
        <w:tc>
          <w:tcPr>
            <w:tcW w:w="1342" w:type="pct"/>
            <w:vAlign w:val="center"/>
          </w:tcPr>
          <w:p w14:paraId="13E668A3">
            <w:pPr>
              <w:pStyle w:val="55"/>
              <w:spacing w:before="31" w:after="31"/>
            </w:pPr>
            <w:r>
              <w:t>7度</w:t>
            </w:r>
          </w:p>
        </w:tc>
        <w:tc>
          <w:tcPr>
            <w:tcW w:w="1246" w:type="pct"/>
            <w:vAlign w:val="center"/>
          </w:tcPr>
          <w:p w14:paraId="0948F369">
            <w:pPr>
              <w:pStyle w:val="55"/>
              <w:spacing w:before="31" w:after="31"/>
            </w:pPr>
            <w:r>
              <w:rPr>
                <w:rFonts w:hint="eastAsia"/>
              </w:rPr>
              <w:t>8度</w:t>
            </w:r>
          </w:p>
        </w:tc>
      </w:tr>
      <w:tr w14:paraId="0B2ABC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12" w:type="pct"/>
            <w:gridSpan w:val="2"/>
            <w:vAlign w:val="center"/>
          </w:tcPr>
          <w:p w14:paraId="1E421337">
            <w:pPr>
              <w:pStyle w:val="55"/>
              <w:spacing w:before="31" w:after="31"/>
            </w:pPr>
            <w:r>
              <w:rPr>
                <w:rFonts w:hint="eastAsia"/>
              </w:rPr>
              <w:t>条带厚度</w:t>
            </w:r>
            <w:r>
              <w:t>（mm）</w:t>
            </w:r>
          </w:p>
        </w:tc>
        <w:tc>
          <w:tcPr>
            <w:tcW w:w="1342" w:type="pct"/>
            <w:vAlign w:val="center"/>
          </w:tcPr>
          <w:p w14:paraId="67E7DC0D">
            <w:pPr>
              <w:pStyle w:val="55"/>
              <w:spacing w:before="31" w:after="31"/>
            </w:pPr>
            <w:r>
              <w:rPr>
                <w:rFonts w:hint="eastAsia"/>
              </w:rPr>
              <w:t>20</w:t>
            </w:r>
          </w:p>
        </w:tc>
        <w:tc>
          <w:tcPr>
            <w:tcW w:w="1246" w:type="pct"/>
            <w:vAlign w:val="center"/>
          </w:tcPr>
          <w:p w14:paraId="44F1CBF8">
            <w:pPr>
              <w:pStyle w:val="55"/>
              <w:spacing w:before="31" w:after="31"/>
            </w:pPr>
            <w:r>
              <w:rPr>
                <w:rFonts w:hint="eastAsia"/>
              </w:rPr>
              <w:t>25</w:t>
            </w:r>
          </w:p>
        </w:tc>
      </w:tr>
      <w:tr w14:paraId="76034E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53" w:type="pct"/>
            <w:vMerge w:val="restart"/>
            <w:vAlign w:val="center"/>
          </w:tcPr>
          <w:p w14:paraId="018DE79F">
            <w:pPr>
              <w:pStyle w:val="55"/>
              <w:spacing w:before="31" w:after="31"/>
            </w:pPr>
            <w:r>
              <w:t>竖向条带宽度（mm）</w:t>
            </w:r>
          </w:p>
        </w:tc>
        <w:tc>
          <w:tcPr>
            <w:tcW w:w="359" w:type="pct"/>
            <w:vAlign w:val="center"/>
          </w:tcPr>
          <w:p w14:paraId="3BFB7AEE">
            <w:pPr>
              <w:pStyle w:val="55"/>
              <w:spacing w:before="31" w:after="31"/>
            </w:pPr>
            <w:r>
              <w:t>a</w:t>
            </w:r>
          </w:p>
        </w:tc>
        <w:tc>
          <w:tcPr>
            <w:tcW w:w="2588" w:type="pct"/>
            <w:gridSpan w:val="2"/>
            <w:vAlign w:val="center"/>
          </w:tcPr>
          <w:p w14:paraId="39A7D0D5">
            <w:pPr>
              <w:pStyle w:val="55"/>
              <w:spacing w:before="31" w:after="31"/>
            </w:pPr>
            <w:r>
              <w:rPr>
                <w:rFonts w:hint="eastAsia"/>
              </w:rPr>
              <w:t>1000</w:t>
            </w:r>
          </w:p>
        </w:tc>
      </w:tr>
      <w:tr w14:paraId="73B4D3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53" w:type="pct"/>
            <w:vMerge w:val="continue"/>
            <w:vAlign w:val="center"/>
          </w:tcPr>
          <w:p w14:paraId="77E94286">
            <w:pPr>
              <w:pStyle w:val="55"/>
              <w:spacing w:before="31" w:after="31"/>
            </w:pPr>
          </w:p>
        </w:tc>
        <w:tc>
          <w:tcPr>
            <w:tcW w:w="359" w:type="pct"/>
            <w:vAlign w:val="center"/>
          </w:tcPr>
          <w:p w14:paraId="4AA9FDA6">
            <w:pPr>
              <w:pStyle w:val="55"/>
              <w:spacing w:before="31" w:after="31"/>
            </w:pPr>
            <w:r>
              <w:t>b</w:t>
            </w:r>
          </w:p>
        </w:tc>
        <w:tc>
          <w:tcPr>
            <w:tcW w:w="2588" w:type="pct"/>
            <w:gridSpan w:val="2"/>
            <w:vAlign w:val="center"/>
          </w:tcPr>
          <w:p w14:paraId="7674A397">
            <w:pPr>
              <w:pStyle w:val="55"/>
              <w:spacing w:before="31" w:after="31"/>
            </w:pPr>
            <w:r>
              <w:rPr>
                <w:rFonts w:hint="eastAsia"/>
              </w:rPr>
              <w:t>800</w:t>
            </w:r>
          </w:p>
        </w:tc>
      </w:tr>
      <w:tr w14:paraId="17FB05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53" w:type="pct"/>
            <w:vAlign w:val="center"/>
          </w:tcPr>
          <w:p w14:paraId="7B1C7144">
            <w:pPr>
              <w:pStyle w:val="55"/>
              <w:spacing w:before="31" w:after="31"/>
            </w:pPr>
            <w:r>
              <w:t>水平及墙顶条带宽度（mm）</w:t>
            </w:r>
          </w:p>
        </w:tc>
        <w:tc>
          <w:tcPr>
            <w:tcW w:w="359" w:type="pct"/>
            <w:vAlign w:val="center"/>
          </w:tcPr>
          <w:p w14:paraId="0D32349E">
            <w:pPr>
              <w:pStyle w:val="55"/>
              <w:spacing w:before="31" w:after="31"/>
            </w:pPr>
            <w:r>
              <w:t>c</w:t>
            </w:r>
          </w:p>
        </w:tc>
        <w:tc>
          <w:tcPr>
            <w:tcW w:w="2588" w:type="pct"/>
            <w:gridSpan w:val="2"/>
            <w:vAlign w:val="center"/>
          </w:tcPr>
          <w:p w14:paraId="5A194F10">
            <w:pPr>
              <w:pStyle w:val="55"/>
              <w:spacing w:before="31" w:after="31"/>
            </w:pPr>
            <w:r>
              <w:rPr>
                <w:rFonts w:hint="eastAsia"/>
              </w:rPr>
              <w:t>600</w:t>
            </w:r>
          </w:p>
        </w:tc>
      </w:tr>
    </w:tbl>
    <w:p w14:paraId="55AFB422">
      <w:pPr>
        <w:ind w:firstLine="420"/>
      </w:pPr>
    </w:p>
    <w:p w14:paraId="2A1B6223">
      <w:pPr>
        <w:pStyle w:val="4"/>
      </w:pPr>
      <w:r>
        <w:rPr>
          <w:rFonts w:hint="eastAsia"/>
          <w:b/>
        </w:rPr>
        <w:t>C.4</w:t>
      </w:r>
      <w:r>
        <w:rPr>
          <w:b/>
        </w:rPr>
        <w:t>.</w:t>
      </w:r>
      <w:r>
        <w:rPr>
          <w:rFonts w:hint="eastAsia"/>
          <w:b/>
        </w:rPr>
        <w:t>3</w:t>
      </w:r>
      <w:r>
        <w:t xml:space="preserve">  </w:t>
      </w:r>
      <w:r>
        <w:rPr>
          <w:rFonts w:hint="eastAsia"/>
        </w:rPr>
        <w:t>石砌体墙的砌筑砂浆饱满度不足、外纵墙开洞率大于50%时，宜对整片墙体采用高延性混凝土面层进行加固，面层厚度应按</w:t>
      </w:r>
      <w:r>
        <w:t>表C.4.</w:t>
      </w:r>
      <w:r>
        <w:rPr>
          <w:rFonts w:hint="eastAsia"/>
        </w:rPr>
        <w:t>2取值。</w:t>
      </w:r>
    </w:p>
    <w:p w14:paraId="3453156B">
      <w:pPr>
        <w:pStyle w:val="4"/>
        <w:rPr>
          <w:b/>
        </w:rPr>
      </w:pPr>
      <w:r>
        <w:rPr>
          <w:rFonts w:hint="eastAsia"/>
          <w:b/>
        </w:rPr>
        <w:t>C.4</w:t>
      </w:r>
      <w:r>
        <w:rPr>
          <w:b/>
        </w:rPr>
        <w:t>.</w:t>
      </w:r>
      <w:r>
        <w:rPr>
          <w:rFonts w:hint="eastAsia"/>
          <w:b/>
        </w:rPr>
        <w:t>4</w:t>
      </w:r>
      <w:r>
        <w:t xml:space="preserve">  </w:t>
      </w:r>
      <w:r>
        <w:rPr>
          <w:rFonts w:hint="eastAsia"/>
        </w:rPr>
        <w:t>采用高延性混凝土加固石砌体墙前，应对石砌体墙的灰缝进行剔缝处理，并采用强度等级不低于M10的水泥砂浆勾缝填实。在压抹高延性混凝土之前，应将石砌体表面清理干净。</w:t>
      </w:r>
    </w:p>
    <w:p w14:paraId="67C54596">
      <w:pPr>
        <w:pStyle w:val="4"/>
      </w:pPr>
      <w:r>
        <w:rPr>
          <w:rFonts w:hint="eastAsia"/>
          <w:b/>
        </w:rPr>
        <w:t>C.4</w:t>
      </w:r>
      <w:r>
        <w:rPr>
          <w:b/>
        </w:rPr>
        <w:t>.</w:t>
      </w:r>
      <w:r>
        <w:rPr>
          <w:rFonts w:hint="eastAsia"/>
          <w:b/>
        </w:rPr>
        <w:t>5</w:t>
      </w:r>
      <w:r>
        <w:t xml:space="preserve">  </w:t>
      </w:r>
      <w:r>
        <w:rPr>
          <w:rFonts w:hint="eastAsia"/>
        </w:rPr>
        <w:t>石砌体墙的墙顶部沿外墙周边设置的高延性混凝土水平条带中宜埋入3根水平铁丝（图</w:t>
      </w:r>
      <w:r>
        <w:t>C.4.</w:t>
      </w:r>
      <w:r>
        <w:rPr>
          <w:rFonts w:hint="eastAsia"/>
        </w:rPr>
        <w:t>5）。铁丝规格不小于10号，并在墙体拐角处进行搭接，搭接长度每侧1000mm，铁丝应用铁钉固定在墙面上。</w:t>
      </w:r>
    </w:p>
    <w:p w14:paraId="769534A7">
      <w:pPr>
        <w:ind w:firstLine="420"/>
      </w:pPr>
    </w:p>
    <w:tbl>
      <w:tblPr>
        <w:tblStyle w:val="28"/>
        <w:tblW w:w="6145" w:type="dxa"/>
        <w:jc w:val="center"/>
        <w:tblLayout w:type="fixed"/>
        <w:tblCellMar>
          <w:top w:w="0" w:type="dxa"/>
          <w:left w:w="108" w:type="dxa"/>
          <w:bottom w:w="0" w:type="dxa"/>
          <w:right w:w="108" w:type="dxa"/>
        </w:tblCellMar>
      </w:tblPr>
      <w:tblGrid>
        <w:gridCol w:w="3061"/>
        <w:gridCol w:w="3084"/>
      </w:tblGrid>
      <w:tr w14:paraId="7169077D">
        <w:tblPrEx>
          <w:tblCellMar>
            <w:top w:w="0" w:type="dxa"/>
            <w:left w:w="108" w:type="dxa"/>
            <w:bottom w:w="0" w:type="dxa"/>
            <w:right w:w="108" w:type="dxa"/>
          </w:tblCellMar>
        </w:tblPrEx>
        <w:trPr>
          <w:trHeight w:val="1701" w:hRule="atLeast"/>
          <w:jc w:val="center"/>
        </w:trPr>
        <w:tc>
          <w:tcPr>
            <w:tcW w:w="3061" w:type="dxa"/>
            <w:vAlign w:val="center"/>
          </w:tcPr>
          <w:p w14:paraId="160B6988">
            <w:pPr>
              <w:pStyle w:val="55"/>
              <w:spacing w:before="31" w:after="31"/>
              <w:rPr>
                <w:sz w:val="18"/>
              </w:rPr>
            </w:pPr>
            <w:r>
              <w:drawing>
                <wp:inline distT="0" distB="0" distL="114300" distR="114300">
                  <wp:extent cx="1355090" cy="1101090"/>
                  <wp:effectExtent l="0" t="0" r="1270" b="1143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512"/>
                          <a:stretch>
                            <a:fillRect/>
                          </a:stretch>
                        </pic:blipFill>
                        <pic:spPr>
                          <a:xfrm>
                            <a:off x="0" y="0"/>
                            <a:ext cx="1355090" cy="1101090"/>
                          </a:xfrm>
                          <a:prstGeom prst="rect">
                            <a:avLst/>
                          </a:prstGeom>
                          <a:noFill/>
                          <a:ln>
                            <a:noFill/>
                          </a:ln>
                        </pic:spPr>
                      </pic:pic>
                    </a:graphicData>
                  </a:graphic>
                </wp:inline>
              </w:drawing>
            </w:r>
          </w:p>
        </w:tc>
        <w:tc>
          <w:tcPr>
            <w:tcW w:w="3084" w:type="dxa"/>
            <w:vAlign w:val="center"/>
          </w:tcPr>
          <w:p w14:paraId="4EDC384F">
            <w:pPr>
              <w:pStyle w:val="55"/>
              <w:spacing w:before="31" w:after="31"/>
            </w:pPr>
            <w:r>
              <w:drawing>
                <wp:inline distT="0" distB="0" distL="114300" distR="114300">
                  <wp:extent cx="1317625" cy="1205865"/>
                  <wp:effectExtent l="0" t="0" r="8255" b="13335"/>
                  <wp:docPr id="8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5"/>
                          <pic:cNvPicPr>
                            <a:picLocks noChangeAspect="1"/>
                          </pic:cNvPicPr>
                        </pic:nvPicPr>
                        <pic:blipFill>
                          <a:blip r:embed="rId513"/>
                          <a:stretch>
                            <a:fillRect/>
                          </a:stretch>
                        </pic:blipFill>
                        <pic:spPr>
                          <a:xfrm>
                            <a:off x="0" y="0"/>
                            <a:ext cx="1317625" cy="1205865"/>
                          </a:xfrm>
                          <a:prstGeom prst="rect">
                            <a:avLst/>
                          </a:prstGeom>
                          <a:noFill/>
                          <a:ln>
                            <a:noFill/>
                          </a:ln>
                        </pic:spPr>
                      </pic:pic>
                    </a:graphicData>
                  </a:graphic>
                </wp:inline>
              </w:drawing>
            </w:r>
          </w:p>
        </w:tc>
      </w:tr>
      <w:tr w14:paraId="6F77D374">
        <w:tblPrEx>
          <w:tblCellMar>
            <w:top w:w="0" w:type="dxa"/>
            <w:left w:w="108" w:type="dxa"/>
            <w:bottom w:w="0" w:type="dxa"/>
            <w:right w:w="108" w:type="dxa"/>
          </w:tblCellMar>
        </w:tblPrEx>
        <w:trPr>
          <w:jc w:val="center"/>
        </w:trPr>
        <w:tc>
          <w:tcPr>
            <w:tcW w:w="3061" w:type="dxa"/>
          </w:tcPr>
          <w:p w14:paraId="6551299D">
            <w:pPr>
              <w:pStyle w:val="55"/>
              <w:spacing w:before="31" w:after="31"/>
              <w:rPr>
                <w:rFonts w:eastAsia="方正书宋简体"/>
                <w:bCs/>
                <w:sz w:val="18"/>
                <w:szCs w:val="18"/>
              </w:rPr>
            </w:pPr>
            <w:r>
              <w:rPr>
                <w:rFonts w:eastAsia="方正书宋简体"/>
                <w:bCs/>
                <w:sz w:val="18"/>
                <w:szCs w:val="18"/>
              </w:rPr>
              <w:t>（a）</w:t>
            </w:r>
            <w:r>
              <w:rPr>
                <w:rFonts w:hint="eastAsia" w:eastAsia="方正书宋简体"/>
                <w:bCs/>
                <w:sz w:val="18"/>
                <w:szCs w:val="18"/>
              </w:rPr>
              <w:t>铁丝布置立面示意图</w:t>
            </w:r>
          </w:p>
        </w:tc>
        <w:tc>
          <w:tcPr>
            <w:tcW w:w="3084" w:type="dxa"/>
          </w:tcPr>
          <w:p w14:paraId="75B658C1">
            <w:pPr>
              <w:pStyle w:val="55"/>
              <w:spacing w:before="31" w:after="31"/>
              <w:rPr>
                <w:rFonts w:eastAsia="方正书宋简体"/>
                <w:bCs/>
                <w:sz w:val="18"/>
                <w:szCs w:val="18"/>
              </w:rPr>
            </w:pPr>
            <w:r>
              <w:rPr>
                <w:rFonts w:eastAsia="方正书宋简体"/>
                <w:bCs/>
                <w:sz w:val="18"/>
                <w:szCs w:val="18"/>
              </w:rPr>
              <w:t>（</w:t>
            </w:r>
            <w:r>
              <w:rPr>
                <w:rFonts w:hint="eastAsia" w:eastAsia="方正书宋简体"/>
                <w:bCs/>
                <w:sz w:val="18"/>
                <w:szCs w:val="18"/>
              </w:rPr>
              <w:t>b</w:t>
            </w:r>
            <w:r>
              <w:rPr>
                <w:rFonts w:eastAsia="方正书宋简体"/>
                <w:bCs/>
                <w:sz w:val="18"/>
                <w:szCs w:val="18"/>
              </w:rPr>
              <w:t>）</w:t>
            </w:r>
            <w:r>
              <w:rPr>
                <w:rFonts w:hint="eastAsia" w:eastAsia="方正书宋简体"/>
                <w:bCs/>
                <w:sz w:val="18"/>
                <w:szCs w:val="18"/>
              </w:rPr>
              <w:t>墙体拐角处铁丝搭接示意图</w:t>
            </w:r>
          </w:p>
        </w:tc>
      </w:tr>
      <w:tr w14:paraId="1F242F37">
        <w:tblPrEx>
          <w:tblCellMar>
            <w:top w:w="0" w:type="dxa"/>
            <w:left w:w="108" w:type="dxa"/>
            <w:bottom w:w="0" w:type="dxa"/>
            <w:right w:w="108" w:type="dxa"/>
          </w:tblCellMar>
        </w:tblPrEx>
        <w:trPr>
          <w:trHeight w:val="170" w:hRule="atLeast"/>
          <w:jc w:val="center"/>
        </w:trPr>
        <w:tc>
          <w:tcPr>
            <w:tcW w:w="6145" w:type="dxa"/>
            <w:gridSpan w:val="2"/>
          </w:tcPr>
          <w:p w14:paraId="62F80658">
            <w:pPr>
              <w:pStyle w:val="55"/>
              <w:spacing w:before="31" w:after="31"/>
              <w:rPr>
                <w:rFonts w:eastAsia="黑体"/>
                <w:b/>
                <w:bCs/>
                <w:sz w:val="18"/>
                <w:szCs w:val="18"/>
              </w:rPr>
            </w:pPr>
            <w:r>
              <w:rPr>
                <w:rFonts w:hint="eastAsia" w:eastAsia="黑体" w:cs="Times New Roman"/>
                <w:bCs/>
                <w:sz w:val="18"/>
                <w:szCs w:val="18"/>
              </w:rPr>
              <w:t>图</w:t>
            </w:r>
            <w:r>
              <w:rPr>
                <w:rFonts w:eastAsia="黑体" w:cs="Times New Roman"/>
                <w:b/>
                <w:sz w:val="18"/>
                <w:szCs w:val="18"/>
              </w:rPr>
              <w:t>C.4.6</w:t>
            </w:r>
            <w:r>
              <w:rPr>
                <w:rFonts w:hint="eastAsia" w:eastAsia="黑体" w:cs="Times New Roman"/>
                <w:bCs/>
                <w:sz w:val="18"/>
                <w:szCs w:val="18"/>
              </w:rPr>
              <w:t xml:space="preserve"> 墙顶水平条带内铁丝布置示意图</w:t>
            </w:r>
          </w:p>
          <w:p w14:paraId="60184BE3">
            <w:pPr>
              <w:pStyle w:val="55"/>
              <w:spacing w:before="31" w:after="31"/>
              <w:rPr>
                <w:rFonts w:eastAsia="黑体"/>
                <w:b/>
                <w:bCs/>
                <w:sz w:val="18"/>
                <w:szCs w:val="18"/>
              </w:rPr>
            </w:pPr>
            <w:r>
              <w:rPr>
                <w:rFonts w:hint="eastAsia" w:eastAsia="方正书宋简体" w:cs="Times New Roman"/>
                <w:bCs/>
                <w:sz w:val="18"/>
                <w:szCs w:val="18"/>
              </w:rPr>
              <w:t>1—缠绕铁丝；2—高延性混凝土水平条带；3—加固墙体；4—缠绕铁丝搭接</w:t>
            </w:r>
          </w:p>
        </w:tc>
      </w:tr>
    </w:tbl>
    <w:p w14:paraId="40955394">
      <w:pPr>
        <w:pStyle w:val="5"/>
        <w:ind w:firstLine="560"/>
      </w:pPr>
    </w:p>
    <w:p w14:paraId="18C537C3">
      <w:pPr>
        <w:pStyle w:val="4"/>
        <w:rPr>
          <w:rFonts w:eastAsia="方正书宋简体"/>
        </w:rPr>
      </w:pPr>
      <w:bookmarkStart w:id="1171" w:name="_Toc511722947"/>
      <w:bookmarkStart w:id="1172" w:name="_Toc53160780"/>
      <w:bookmarkStart w:id="1173" w:name="_Toc25070782"/>
      <w:bookmarkStart w:id="1174" w:name="_Toc511230986"/>
      <w:bookmarkStart w:id="1175" w:name="_Toc54084841"/>
      <w:bookmarkStart w:id="1176" w:name="_Toc32848366"/>
      <w:bookmarkStart w:id="1177" w:name="_Toc54112342"/>
      <w:bookmarkStart w:id="1178" w:name="_Toc66105620"/>
      <w:bookmarkStart w:id="1179" w:name="_Toc25691026"/>
      <w:bookmarkStart w:id="1180" w:name="_Toc48138917"/>
      <w:bookmarkStart w:id="1181" w:name="_Toc48138839"/>
      <w:bookmarkStart w:id="1182" w:name="_Toc54024197"/>
      <w:bookmarkStart w:id="1183" w:name="_Toc53159490"/>
      <w:bookmarkStart w:id="1184" w:name="_Toc19545364"/>
      <w:bookmarkStart w:id="1185" w:name="_Toc38352800"/>
      <w:bookmarkStart w:id="1186" w:name="_Toc48138995"/>
      <w:bookmarkStart w:id="1187" w:name="_Toc38358426"/>
      <w:bookmarkStart w:id="1188" w:name="_Toc32865105"/>
      <w:bookmarkStart w:id="1189" w:name="_Toc79220903"/>
      <w:bookmarkStart w:id="1190" w:name="_Toc27521"/>
      <w:bookmarkStart w:id="1191" w:name="_Toc67761455"/>
      <w:bookmarkStart w:id="1192" w:name="_Toc6669"/>
      <w:bookmarkStart w:id="1193" w:name="_Toc5747"/>
      <w:bookmarkStart w:id="1194" w:name="_Toc28419"/>
      <w:bookmarkStart w:id="1195" w:name="_Toc10080"/>
      <w:bookmarkStart w:id="1196" w:name="_Toc318"/>
      <w:r>
        <w:rPr>
          <w:rFonts w:hint="eastAsia"/>
          <w:b/>
        </w:rPr>
        <w:t>C.4</w:t>
      </w:r>
      <w:r>
        <w:rPr>
          <w:b/>
        </w:rPr>
        <w:t>.</w:t>
      </w:r>
      <w:r>
        <w:rPr>
          <w:rFonts w:hint="eastAsia"/>
          <w:b/>
        </w:rPr>
        <w:t>6</w:t>
      </w:r>
      <w:r>
        <w:t xml:space="preserve">  </w:t>
      </w:r>
      <w:r>
        <w:rPr>
          <w:rFonts w:hint="eastAsia" w:eastAsia="方正书宋简体"/>
        </w:rPr>
        <w:t>石-木结构农房中木构件加固部分同本导则</w:t>
      </w:r>
      <w:r>
        <w:rPr>
          <w:rFonts w:eastAsia="方正书宋简体"/>
        </w:rPr>
        <w:t>C.3.</w:t>
      </w:r>
      <w:r>
        <w:rPr>
          <w:rFonts w:hint="eastAsia" w:eastAsia="方正书宋简体"/>
        </w:rPr>
        <w:t>9~</w:t>
      </w:r>
      <w:r>
        <w:rPr>
          <w:rFonts w:eastAsia="方正书宋简体"/>
        </w:rPr>
        <w:t>C.3.17</w:t>
      </w:r>
      <w:r>
        <w:rPr>
          <w:rFonts w:hint="eastAsia" w:eastAsia="方正书宋简体"/>
        </w:rPr>
        <w:t>的相关规定。</w:t>
      </w:r>
    </w:p>
    <w:p w14:paraId="2BE8E91A">
      <w:pPr>
        <w:pStyle w:val="3"/>
      </w:pPr>
      <w:bookmarkStart w:id="1197" w:name="_Toc207111745"/>
      <w:r>
        <w:rPr>
          <w:rFonts w:hint="eastAsia"/>
        </w:rPr>
        <w:t>C.5</w:t>
      </w:r>
      <w:r>
        <w:t xml:space="preserve"> </w:t>
      </w:r>
      <w:r>
        <w:rPr>
          <w:rFonts w:hint="eastAsia"/>
        </w:rPr>
        <w:t>砌块-木结构农房加固</w:t>
      </w:r>
      <w:bookmarkEnd w:id="1197"/>
    </w:p>
    <w:p w14:paraId="24661AD2">
      <w:pPr>
        <w:pStyle w:val="4"/>
      </w:pPr>
      <w:r>
        <w:rPr>
          <w:rFonts w:hint="eastAsia"/>
          <w:b/>
        </w:rPr>
        <w:t>C.5</w:t>
      </w:r>
      <w:r>
        <w:rPr>
          <w:b/>
        </w:rPr>
        <w:t>.</w:t>
      </w:r>
      <w:r>
        <w:rPr>
          <w:rFonts w:hint="eastAsia"/>
          <w:b/>
        </w:rPr>
        <w:t>1</w:t>
      </w:r>
      <w:r>
        <w:t xml:space="preserve">  </w:t>
      </w:r>
      <w:r>
        <w:rPr>
          <w:rFonts w:hint="eastAsia"/>
        </w:rPr>
        <w:t>本节适用于烧结普通砖、烧结多孔砖、混凝土实心砖、混凝土多孔砖、混凝土空心砌块、蒸压灰砂砖、蒸压粉煤灰砖等砌体结构农房的加固。</w:t>
      </w:r>
    </w:p>
    <w:p w14:paraId="214349C3">
      <w:pPr>
        <w:pStyle w:val="4"/>
      </w:pPr>
      <w:r>
        <w:rPr>
          <w:rFonts w:hint="eastAsia"/>
          <w:b/>
        </w:rPr>
        <w:t>C.5</w:t>
      </w:r>
      <w:r>
        <w:rPr>
          <w:b/>
        </w:rPr>
        <w:t>.</w:t>
      </w:r>
      <w:r>
        <w:rPr>
          <w:rFonts w:hint="eastAsia"/>
          <w:b/>
        </w:rPr>
        <w:t>2</w:t>
      </w:r>
      <w:r>
        <w:t xml:space="preserve">  </w:t>
      </w:r>
      <w:r>
        <w:rPr>
          <w:rFonts w:hint="eastAsia"/>
        </w:rPr>
        <w:t>采用高延性混凝土条带加固的石-木结构农房时，应同时设置竖向和水平条带。</w:t>
      </w:r>
    </w:p>
    <w:p w14:paraId="2D7183F9">
      <w:pPr>
        <w:pStyle w:val="4"/>
      </w:pPr>
      <w:r>
        <w:rPr>
          <w:rFonts w:hint="eastAsia"/>
          <w:b/>
        </w:rPr>
        <w:t>C.5</w:t>
      </w:r>
      <w:r>
        <w:rPr>
          <w:b/>
        </w:rPr>
        <w:t>.</w:t>
      </w:r>
      <w:r>
        <w:rPr>
          <w:rFonts w:hint="eastAsia"/>
          <w:b/>
        </w:rPr>
        <w:t>3</w:t>
      </w:r>
      <w:r>
        <w:t xml:space="preserve">  </w:t>
      </w:r>
      <w:r>
        <w:rPr>
          <w:rFonts w:hint="eastAsia" w:eastAsia="方正书宋简体"/>
        </w:rPr>
        <w:t>加固砌块砌体墙时</w:t>
      </w:r>
      <w:r>
        <w:rPr>
          <w:rFonts w:hint="eastAsia"/>
        </w:rPr>
        <w:t>，高延性混凝土条带设置部位同本导则</w:t>
      </w:r>
      <w:r>
        <w:t>C.</w:t>
      </w:r>
      <w:r>
        <w:rPr>
          <w:rFonts w:hint="eastAsia"/>
        </w:rPr>
        <w:t>3</w:t>
      </w:r>
      <w:r>
        <w:t>.</w:t>
      </w:r>
      <w:r>
        <w:rPr>
          <w:rFonts w:hint="eastAsia"/>
        </w:rPr>
        <w:t>4~</w:t>
      </w:r>
      <w:r>
        <w:t xml:space="preserve"> C.</w:t>
      </w:r>
      <w:r>
        <w:rPr>
          <w:rFonts w:hint="eastAsia"/>
        </w:rPr>
        <w:t>3</w:t>
      </w:r>
      <w:r>
        <w:t>.</w:t>
      </w:r>
      <w:r>
        <w:rPr>
          <w:rFonts w:hint="eastAsia"/>
        </w:rPr>
        <w:t>5相关规定，高延性混凝土条带的最小厚度和最小宽度应符合表</w:t>
      </w:r>
      <w:r>
        <w:t>C.</w:t>
      </w:r>
      <w:r>
        <w:rPr>
          <w:rFonts w:hint="eastAsia"/>
        </w:rPr>
        <w:t>5</w:t>
      </w:r>
      <w:r>
        <w:t>.</w:t>
      </w:r>
      <w:r>
        <w:rPr>
          <w:rFonts w:hint="eastAsia"/>
          <w:bCs w:val="0"/>
        </w:rPr>
        <w:t>3</w:t>
      </w:r>
      <w:r>
        <w:rPr>
          <w:rFonts w:hint="eastAsia"/>
        </w:rPr>
        <w:t>要求。</w:t>
      </w:r>
    </w:p>
    <w:p w14:paraId="76E0C1E4">
      <w:pPr>
        <w:pStyle w:val="56"/>
      </w:pPr>
      <w:r>
        <w:t>表</w:t>
      </w:r>
      <w:r>
        <w:rPr>
          <w:bCs/>
        </w:rPr>
        <w:t>C.</w:t>
      </w:r>
      <w:r>
        <w:rPr>
          <w:rFonts w:hint="eastAsia"/>
          <w:bCs/>
        </w:rPr>
        <w:t>5</w:t>
      </w:r>
      <w:r>
        <w:rPr>
          <w:bCs/>
        </w:rPr>
        <w:t>.</w:t>
      </w:r>
      <w:r>
        <w:rPr>
          <w:rFonts w:hint="eastAsia"/>
          <w:bCs/>
        </w:rPr>
        <w:t>3</w:t>
      </w:r>
      <w:r>
        <w:rPr>
          <w:rFonts w:eastAsia="黑体"/>
        </w:rPr>
        <w:t xml:space="preserve">  </w:t>
      </w:r>
      <w:r>
        <w:t>高延性混凝土条带最小厚度和最小宽度</w:t>
      </w:r>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3267"/>
        <w:gridCol w:w="571"/>
        <w:gridCol w:w="2135"/>
        <w:gridCol w:w="1983"/>
      </w:tblGrid>
      <w:tr w14:paraId="1CAB40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12" w:type="pct"/>
            <w:gridSpan w:val="2"/>
            <w:vAlign w:val="center"/>
          </w:tcPr>
          <w:p w14:paraId="277B5140">
            <w:pPr>
              <w:pStyle w:val="55"/>
              <w:spacing w:before="31" w:after="31"/>
            </w:pPr>
            <w:r>
              <w:rPr>
                <w:rFonts w:hint="eastAsia"/>
              </w:rPr>
              <w:t>设</w:t>
            </w:r>
            <w:r>
              <w:t>防烈度</w:t>
            </w:r>
          </w:p>
        </w:tc>
        <w:tc>
          <w:tcPr>
            <w:tcW w:w="1342" w:type="pct"/>
            <w:vAlign w:val="center"/>
          </w:tcPr>
          <w:p w14:paraId="40E8BCD2">
            <w:pPr>
              <w:pStyle w:val="55"/>
              <w:spacing w:before="31" w:after="31"/>
            </w:pPr>
            <w:r>
              <w:t>7度</w:t>
            </w:r>
          </w:p>
        </w:tc>
        <w:tc>
          <w:tcPr>
            <w:tcW w:w="1246" w:type="pct"/>
            <w:vAlign w:val="center"/>
          </w:tcPr>
          <w:p w14:paraId="3BA0A373">
            <w:pPr>
              <w:pStyle w:val="55"/>
              <w:spacing w:before="31" w:after="31"/>
            </w:pPr>
            <w:r>
              <w:rPr>
                <w:rFonts w:hint="eastAsia"/>
              </w:rPr>
              <w:t>8度</w:t>
            </w:r>
          </w:p>
        </w:tc>
      </w:tr>
      <w:tr w14:paraId="74FC03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12" w:type="pct"/>
            <w:gridSpan w:val="2"/>
            <w:vAlign w:val="center"/>
          </w:tcPr>
          <w:p w14:paraId="70D57005">
            <w:pPr>
              <w:pStyle w:val="55"/>
              <w:spacing w:before="31" w:after="31"/>
            </w:pPr>
            <w:r>
              <w:rPr>
                <w:rFonts w:hint="eastAsia"/>
              </w:rPr>
              <w:t>条带厚度</w:t>
            </w:r>
            <w:r>
              <w:t>（mm）</w:t>
            </w:r>
          </w:p>
        </w:tc>
        <w:tc>
          <w:tcPr>
            <w:tcW w:w="1342" w:type="pct"/>
            <w:vAlign w:val="center"/>
          </w:tcPr>
          <w:p w14:paraId="473758A4">
            <w:pPr>
              <w:pStyle w:val="55"/>
              <w:spacing w:before="31" w:after="31"/>
            </w:pPr>
            <w:r>
              <w:rPr>
                <w:rFonts w:hint="eastAsia"/>
              </w:rPr>
              <w:t>20</w:t>
            </w:r>
          </w:p>
        </w:tc>
        <w:tc>
          <w:tcPr>
            <w:tcW w:w="1246" w:type="pct"/>
            <w:vAlign w:val="center"/>
          </w:tcPr>
          <w:p w14:paraId="315069EA">
            <w:pPr>
              <w:pStyle w:val="55"/>
              <w:spacing w:before="31" w:after="31"/>
            </w:pPr>
            <w:r>
              <w:rPr>
                <w:rFonts w:hint="eastAsia"/>
              </w:rPr>
              <w:t>25</w:t>
            </w:r>
          </w:p>
        </w:tc>
      </w:tr>
      <w:tr w14:paraId="0F3C9C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53" w:type="pct"/>
            <w:vMerge w:val="restart"/>
            <w:vAlign w:val="center"/>
          </w:tcPr>
          <w:p w14:paraId="0329FE54">
            <w:pPr>
              <w:pStyle w:val="55"/>
              <w:spacing w:before="31" w:after="31"/>
            </w:pPr>
            <w:r>
              <w:t>竖向条带宽度（mm）</w:t>
            </w:r>
          </w:p>
        </w:tc>
        <w:tc>
          <w:tcPr>
            <w:tcW w:w="359" w:type="pct"/>
            <w:vAlign w:val="center"/>
          </w:tcPr>
          <w:p w14:paraId="7D0E9AED">
            <w:pPr>
              <w:pStyle w:val="55"/>
              <w:spacing w:before="31" w:after="31"/>
            </w:pPr>
            <w:r>
              <w:t>a</w:t>
            </w:r>
          </w:p>
        </w:tc>
        <w:tc>
          <w:tcPr>
            <w:tcW w:w="2588" w:type="pct"/>
            <w:gridSpan w:val="2"/>
            <w:vAlign w:val="center"/>
          </w:tcPr>
          <w:p w14:paraId="345A8211">
            <w:pPr>
              <w:pStyle w:val="55"/>
              <w:spacing w:before="31" w:after="31"/>
            </w:pPr>
            <w:r>
              <w:rPr>
                <w:rFonts w:hint="eastAsia"/>
              </w:rPr>
              <w:t>1000</w:t>
            </w:r>
          </w:p>
        </w:tc>
      </w:tr>
      <w:tr w14:paraId="198C2C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53" w:type="pct"/>
            <w:vMerge w:val="continue"/>
            <w:vAlign w:val="center"/>
          </w:tcPr>
          <w:p w14:paraId="23499156">
            <w:pPr>
              <w:pStyle w:val="55"/>
              <w:spacing w:before="31" w:after="31"/>
            </w:pPr>
          </w:p>
        </w:tc>
        <w:tc>
          <w:tcPr>
            <w:tcW w:w="359" w:type="pct"/>
            <w:vAlign w:val="center"/>
          </w:tcPr>
          <w:p w14:paraId="58594943">
            <w:pPr>
              <w:pStyle w:val="55"/>
              <w:spacing w:before="31" w:after="31"/>
            </w:pPr>
            <w:r>
              <w:t>b</w:t>
            </w:r>
          </w:p>
        </w:tc>
        <w:tc>
          <w:tcPr>
            <w:tcW w:w="2588" w:type="pct"/>
            <w:gridSpan w:val="2"/>
            <w:vAlign w:val="center"/>
          </w:tcPr>
          <w:p w14:paraId="745C71F1">
            <w:pPr>
              <w:pStyle w:val="55"/>
              <w:spacing w:before="31" w:after="31"/>
            </w:pPr>
            <w:r>
              <w:rPr>
                <w:rFonts w:hint="eastAsia"/>
              </w:rPr>
              <w:t>800</w:t>
            </w:r>
          </w:p>
        </w:tc>
      </w:tr>
      <w:tr w14:paraId="397400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53" w:type="pct"/>
            <w:vAlign w:val="center"/>
          </w:tcPr>
          <w:p w14:paraId="318A7D46">
            <w:pPr>
              <w:pStyle w:val="55"/>
              <w:spacing w:before="31" w:after="31"/>
            </w:pPr>
            <w:r>
              <w:t>水平及墙顶条带宽度（mm）</w:t>
            </w:r>
          </w:p>
        </w:tc>
        <w:tc>
          <w:tcPr>
            <w:tcW w:w="359" w:type="pct"/>
            <w:vAlign w:val="center"/>
          </w:tcPr>
          <w:p w14:paraId="28F4C118">
            <w:pPr>
              <w:pStyle w:val="55"/>
              <w:spacing w:before="31" w:after="31"/>
            </w:pPr>
            <w:r>
              <w:t>c</w:t>
            </w:r>
          </w:p>
        </w:tc>
        <w:tc>
          <w:tcPr>
            <w:tcW w:w="2588" w:type="pct"/>
            <w:gridSpan w:val="2"/>
            <w:vAlign w:val="center"/>
          </w:tcPr>
          <w:p w14:paraId="50A08751">
            <w:pPr>
              <w:pStyle w:val="55"/>
              <w:spacing w:before="31" w:after="31"/>
            </w:pPr>
            <w:r>
              <w:rPr>
                <w:rFonts w:hint="eastAsia"/>
              </w:rPr>
              <w:t>600</w:t>
            </w:r>
          </w:p>
        </w:tc>
      </w:tr>
    </w:tbl>
    <w:p w14:paraId="3251572E">
      <w:pPr>
        <w:ind w:firstLine="420"/>
      </w:pPr>
    </w:p>
    <w:p w14:paraId="758A4B16">
      <w:pPr>
        <w:pStyle w:val="4"/>
      </w:pPr>
      <w:r>
        <w:rPr>
          <w:rFonts w:hint="eastAsia"/>
          <w:b/>
        </w:rPr>
        <w:t>C.5</w:t>
      </w:r>
      <w:r>
        <w:rPr>
          <w:b/>
        </w:rPr>
        <w:t>.</w:t>
      </w:r>
      <w:r>
        <w:rPr>
          <w:rFonts w:hint="eastAsia"/>
          <w:b/>
        </w:rPr>
        <w:t>4</w:t>
      </w:r>
      <w:r>
        <w:t xml:space="preserve">  </w:t>
      </w:r>
      <w:r>
        <w:rPr>
          <w:rFonts w:hint="eastAsia" w:eastAsia="方正书宋简体"/>
        </w:rPr>
        <w:t>对开洞率大于50%的砌体墙，宜采用高延性混凝土面层加固，</w:t>
      </w:r>
      <w:r>
        <w:rPr>
          <w:rFonts w:hint="eastAsia"/>
        </w:rPr>
        <w:t>面层厚度应按</w:t>
      </w:r>
      <w:r>
        <w:t>表C.</w:t>
      </w:r>
      <w:r>
        <w:rPr>
          <w:rFonts w:hint="eastAsia"/>
        </w:rPr>
        <w:t>5</w:t>
      </w:r>
      <w:r>
        <w:t>.</w:t>
      </w:r>
      <w:r>
        <w:rPr>
          <w:rFonts w:hint="eastAsia"/>
        </w:rPr>
        <w:t>3取值。</w:t>
      </w:r>
    </w:p>
    <w:p w14:paraId="556F80DA">
      <w:pPr>
        <w:pStyle w:val="4"/>
      </w:pPr>
      <w:r>
        <w:rPr>
          <w:rFonts w:hint="eastAsia"/>
          <w:b/>
        </w:rPr>
        <w:t>C.5</w:t>
      </w:r>
      <w:r>
        <w:rPr>
          <w:b/>
        </w:rPr>
        <w:t>.</w:t>
      </w:r>
      <w:r>
        <w:rPr>
          <w:rFonts w:hint="eastAsia"/>
          <w:b/>
        </w:rPr>
        <w:t>5</w:t>
      </w:r>
      <w:r>
        <w:t xml:space="preserve">  </w:t>
      </w:r>
      <w:r>
        <w:rPr>
          <w:rFonts w:hint="eastAsia"/>
        </w:rPr>
        <w:t>高延性混凝土条带加固部位对应的墙面应采用高延性混凝土嵌缝处理，嵌缝深度不小于10mm，嵌缝部位灰缝中的浮灰应清理干净。高延性混凝土竖向条带和水平条带嵌缝可分别参照</w:t>
      </w:r>
      <w:r>
        <w:rPr>
          <w:rFonts w:hint="eastAsia" w:eastAsia="方正书宋简体"/>
          <w:sz w:val="18"/>
          <w:szCs w:val="18"/>
        </w:rPr>
        <w:t>图</w:t>
      </w:r>
      <w:r>
        <w:rPr>
          <w:rFonts w:eastAsia="方正书宋简体"/>
          <w:sz w:val="18"/>
          <w:szCs w:val="18"/>
        </w:rPr>
        <w:t>C.</w:t>
      </w:r>
      <w:r>
        <w:rPr>
          <w:rFonts w:hint="eastAsia" w:eastAsia="方正书宋简体"/>
          <w:sz w:val="18"/>
          <w:szCs w:val="18"/>
        </w:rPr>
        <w:t>5</w:t>
      </w:r>
      <w:r>
        <w:rPr>
          <w:rFonts w:eastAsia="方正书宋简体"/>
          <w:sz w:val="18"/>
          <w:szCs w:val="18"/>
        </w:rPr>
        <w:t>.5</w:t>
      </w:r>
      <w:r>
        <w:rPr>
          <w:rFonts w:hint="eastAsia" w:eastAsia="方正书宋简体"/>
          <w:sz w:val="18"/>
          <w:szCs w:val="18"/>
        </w:rPr>
        <w:t>-1</w:t>
      </w:r>
      <w:r>
        <w:rPr>
          <w:rFonts w:hint="eastAsia"/>
        </w:rPr>
        <w:t>、</w:t>
      </w:r>
      <w:r>
        <w:rPr>
          <w:rFonts w:hint="eastAsia" w:eastAsia="方正书宋简体"/>
          <w:sz w:val="18"/>
          <w:szCs w:val="18"/>
        </w:rPr>
        <w:t>图</w:t>
      </w:r>
      <w:r>
        <w:rPr>
          <w:rFonts w:eastAsia="方正书宋简体"/>
          <w:sz w:val="18"/>
          <w:szCs w:val="18"/>
        </w:rPr>
        <w:t>C.</w:t>
      </w:r>
      <w:r>
        <w:rPr>
          <w:rFonts w:hint="eastAsia" w:eastAsia="方正书宋简体"/>
          <w:sz w:val="18"/>
          <w:szCs w:val="18"/>
        </w:rPr>
        <w:t>5</w:t>
      </w:r>
      <w:r>
        <w:rPr>
          <w:rFonts w:eastAsia="方正书宋简体"/>
          <w:sz w:val="18"/>
          <w:szCs w:val="18"/>
        </w:rPr>
        <w:t>.5</w:t>
      </w:r>
      <w:r>
        <w:rPr>
          <w:rFonts w:hint="eastAsia" w:eastAsia="方正书宋简体"/>
          <w:sz w:val="18"/>
          <w:szCs w:val="18"/>
        </w:rPr>
        <w:t>-2</w:t>
      </w:r>
      <w:r>
        <w:rPr>
          <w:rFonts w:hint="eastAsia"/>
        </w:rPr>
        <w:t>进行处理，施工条件允许时也可全部采取嵌缝处理。高延性混凝土横向和竖向条带两个侧边应进行嵌缝处理，且相应位置的砖表面宜进行拉毛处理，拉毛深度不小于2mm，拉毛宽度不小于120mm。</w:t>
      </w:r>
    </w:p>
    <w:tbl>
      <w:tblPr>
        <w:tblStyle w:val="28"/>
        <w:tblW w:w="7938" w:type="dxa"/>
        <w:jc w:val="center"/>
        <w:tblLayout w:type="fixed"/>
        <w:tblCellMar>
          <w:top w:w="0" w:type="dxa"/>
          <w:left w:w="108" w:type="dxa"/>
          <w:bottom w:w="0" w:type="dxa"/>
          <w:right w:w="108" w:type="dxa"/>
        </w:tblCellMar>
      </w:tblPr>
      <w:tblGrid>
        <w:gridCol w:w="3969"/>
        <w:gridCol w:w="3969"/>
      </w:tblGrid>
      <w:tr w14:paraId="3A11A022">
        <w:tblPrEx>
          <w:tblCellMar>
            <w:top w:w="0" w:type="dxa"/>
            <w:left w:w="108" w:type="dxa"/>
            <w:bottom w:w="0" w:type="dxa"/>
            <w:right w:w="108" w:type="dxa"/>
          </w:tblCellMar>
        </w:tblPrEx>
        <w:trPr>
          <w:trHeight w:val="454" w:hRule="atLeast"/>
          <w:jc w:val="center"/>
        </w:trPr>
        <w:tc>
          <w:tcPr>
            <w:tcW w:w="3969" w:type="dxa"/>
            <w:vAlign w:val="bottom"/>
          </w:tcPr>
          <w:p w14:paraId="7D9E9A2A">
            <w:pPr>
              <w:pStyle w:val="55"/>
              <w:spacing w:before="31" w:after="31"/>
            </w:pPr>
            <w:r>
              <w:drawing>
                <wp:inline distT="0" distB="0" distL="114300" distR="114300">
                  <wp:extent cx="1959610" cy="2305050"/>
                  <wp:effectExtent l="0" t="0" r="2540" b="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514"/>
                          <a:stretch>
                            <a:fillRect/>
                          </a:stretch>
                        </pic:blipFill>
                        <pic:spPr>
                          <a:xfrm>
                            <a:off x="0" y="0"/>
                            <a:ext cx="1993209" cy="2344452"/>
                          </a:xfrm>
                          <a:prstGeom prst="rect">
                            <a:avLst/>
                          </a:prstGeom>
                          <a:noFill/>
                          <a:ln>
                            <a:noFill/>
                          </a:ln>
                        </pic:spPr>
                      </pic:pic>
                    </a:graphicData>
                  </a:graphic>
                </wp:inline>
              </w:drawing>
            </w:r>
          </w:p>
        </w:tc>
        <w:tc>
          <w:tcPr>
            <w:tcW w:w="3969" w:type="dxa"/>
            <w:vAlign w:val="center"/>
          </w:tcPr>
          <w:p w14:paraId="59916662">
            <w:pPr>
              <w:pStyle w:val="55"/>
              <w:spacing w:before="31" w:after="31"/>
            </w:pPr>
            <w:r>
              <w:drawing>
                <wp:inline distT="0" distB="0" distL="114300" distR="114300">
                  <wp:extent cx="2656205" cy="2466975"/>
                  <wp:effectExtent l="0" t="0" r="0" b="0"/>
                  <wp:docPr id="3005273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27335" name="图片 12"/>
                          <pic:cNvPicPr>
                            <a:picLocks noChangeAspect="1"/>
                          </pic:cNvPicPr>
                        </pic:nvPicPr>
                        <pic:blipFill>
                          <a:blip r:embed="rId515"/>
                          <a:stretch>
                            <a:fillRect/>
                          </a:stretch>
                        </pic:blipFill>
                        <pic:spPr>
                          <a:xfrm>
                            <a:off x="0" y="0"/>
                            <a:ext cx="2698029" cy="2505632"/>
                          </a:xfrm>
                          <a:prstGeom prst="rect">
                            <a:avLst/>
                          </a:prstGeom>
                          <a:noFill/>
                          <a:ln>
                            <a:noFill/>
                          </a:ln>
                        </pic:spPr>
                      </pic:pic>
                    </a:graphicData>
                  </a:graphic>
                </wp:inline>
              </w:drawing>
            </w:r>
          </w:p>
        </w:tc>
      </w:tr>
      <w:tr w14:paraId="7296A76F">
        <w:tblPrEx>
          <w:tblCellMar>
            <w:top w:w="0" w:type="dxa"/>
            <w:left w:w="108" w:type="dxa"/>
            <w:bottom w:w="0" w:type="dxa"/>
            <w:right w:w="108" w:type="dxa"/>
          </w:tblCellMar>
        </w:tblPrEx>
        <w:trPr>
          <w:trHeight w:val="454" w:hRule="atLeast"/>
          <w:jc w:val="center"/>
        </w:trPr>
        <w:tc>
          <w:tcPr>
            <w:tcW w:w="3969" w:type="dxa"/>
            <w:vAlign w:val="center"/>
          </w:tcPr>
          <w:p w14:paraId="4FDB2500">
            <w:pPr>
              <w:pStyle w:val="55"/>
              <w:spacing w:before="31" w:after="31"/>
            </w:pPr>
            <w:r>
              <w:rPr>
                <w:rFonts w:hint="eastAsia"/>
              </w:rPr>
              <w:t>图</w:t>
            </w:r>
            <w:r>
              <w:t>C.</w:t>
            </w:r>
            <w:r>
              <w:rPr>
                <w:rFonts w:hint="eastAsia"/>
              </w:rPr>
              <w:t>5</w:t>
            </w:r>
            <w:r>
              <w:t>.5</w:t>
            </w:r>
            <w:r>
              <w:rPr>
                <w:rFonts w:hint="eastAsia"/>
              </w:rPr>
              <w:t xml:space="preserve">-1 </w:t>
            </w:r>
            <w:r>
              <w:t>竖向条带嵌缝做法</w:t>
            </w:r>
          </w:p>
        </w:tc>
        <w:tc>
          <w:tcPr>
            <w:tcW w:w="3969" w:type="dxa"/>
            <w:vAlign w:val="center"/>
          </w:tcPr>
          <w:p w14:paraId="25275FE5">
            <w:pPr>
              <w:pStyle w:val="55"/>
              <w:spacing w:before="31" w:after="31"/>
            </w:pPr>
            <w:r>
              <w:rPr>
                <w:rFonts w:hint="eastAsia"/>
              </w:rPr>
              <w:t>图</w:t>
            </w:r>
            <w:r>
              <w:t>C.</w:t>
            </w:r>
            <w:r>
              <w:rPr>
                <w:rFonts w:hint="eastAsia"/>
              </w:rPr>
              <w:t>5</w:t>
            </w:r>
            <w:r>
              <w:t>.5</w:t>
            </w:r>
            <w:r>
              <w:rPr>
                <w:rFonts w:hint="eastAsia"/>
              </w:rPr>
              <w:t>-2 水平</w:t>
            </w:r>
            <w:r>
              <w:t>条带嵌缝做法</w:t>
            </w:r>
          </w:p>
        </w:tc>
      </w:tr>
    </w:tbl>
    <w:p w14:paraId="0B26C339">
      <w:pPr>
        <w:pStyle w:val="4"/>
      </w:pPr>
      <w:r>
        <w:rPr>
          <w:rFonts w:hint="eastAsia"/>
          <w:b/>
        </w:rPr>
        <w:t>C.5</w:t>
      </w:r>
      <w:r>
        <w:rPr>
          <w:b/>
        </w:rPr>
        <w:t>.</w:t>
      </w:r>
      <w:r>
        <w:rPr>
          <w:rFonts w:hint="eastAsia"/>
          <w:b/>
        </w:rPr>
        <w:t>6</w:t>
      </w:r>
      <w:r>
        <w:t xml:space="preserve"> </w:t>
      </w:r>
      <w:r>
        <w:rPr>
          <w:rFonts w:hint="eastAsia"/>
        </w:rPr>
        <w:t>房屋端山墙外侧有相邻建筑物时，端山墙上的高延性混凝土水平条带及竖向条带可设置在墙体内侧，且外纵墙与端山墙交接部位的高延性混凝土竖向条带应双面布置（图C.5</w:t>
      </w:r>
      <w:r>
        <w:t>.</w:t>
      </w:r>
      <w:r>
        <w:rPr>
          <w:rFonts w:hint="eastAsia"/>
        </w:rPr>
        <w:t>6-a）。当墙体内侧不能进行高延性混凝土施工时，应在楼板底部沿横墙设置钢拉杆，钢拉杆直径不小于16mm，拉杆两端设置不小于250mm×250mm×10mm的钢垫板锚固于高延性混凝土条带外侧（图C.5</w:t>
      </w:r>
      <w:r>
        <w:t>.</w:t>
      </w:r>
      <w:r>
        <w:rPr>
          <w:rFonts w:hint="eastAsia"/>
        </w:rPr>
        <w:t>6-b）。</w:t>
      </w:r>
    </w:p>
    <w:p w14:paraId="30383782">
      <w:pPr>
        <w:ind w:firstLine="420"/>
      </w:pPr>
    </w:p>
    <w:tbl>
      <w:tblPr>
        <w:tblStyle w:val="28"/>
        <w:tblW w:w="6122" w:type="dxa"/>
        <w:jc w:val="center"/>
        <w:tblLayout w:type="fixed"/>
        <w:tblCellMar>
          <w:top w:w="0" w:type="dxa"/>
          <w:left w:w="108" w:type="dxa"/>
          <w:bottom w:w="0" w:type="dxa"/>
          <w:right w:w="108" w:type="dxa"/>
        </w:tblCellMar>
      </w:tblPr>
      <w:tblGrid>
        <w:gridCol w:w="3061"/>
        <w:gridCol w:w="3061"/>
      </w:tblGrid>
      <w:tr w14:paraId="0AAF8958">
        <w:tblPrEx>
          <w:tblCellMar>
            <w:top w:w="0" w:type="dxa"/>
            <w:left w:w="108" w:type="dxa"/>
            <w:bottom w:w="0" w:type="dxa"/>
            <w:right w:w="108" w:type="dxa"/>
          </w:tblCellMar>
        </w:tblPrEx>
        <w:trPr>
          <w:jc w:val="center"/>
        </w:trPr>
        <w:tc>
          <w:tcPr>
            <w:tcW w:w="3061" w:type="dxa"/>
          </w:tcPr>
          <w:p w14:paraId="691C157B">
            <w:pPr>
              <w:pStyle w:val="55"/>
              <w:spacing w:before="31" w:after="31"/>
            </w:pPr>
            <w:r>
              <w:drawing>
                <wp:inline distT="0" distB="0" distL="114300" distR="114300">
                  <wp:extent cx="1503045" cy="2016125"/>
                  <wp:effectExtent l="0" t="0" r="5715" b="10795"/>
                  <wp:docPr id="7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7"/>
                          <pic:cNvPicPr>
                            <a:picLocks noChangeAspect="1"/>
                          </pic:cNvPicPr>
                        </pic:nvPicPr>
                        <pic:blipFill>
                          <a:blip r:embed="rId516"/>
                          <a:stretch>
                            <a:fillRect/>
                          </a:stretch>
                        </pic:blipFill>
                        <pic:spPr>
                          <a:xfrm>
                            <a:off x="0" y="0"/>
                            <a:ext cx="1503045" cy="2016125"/>
                          </a:xfrm>
                          <a:prstGeom prst="rect">
                            <a:avLst/>
                          </a:prstGeom>
                          <a:noFill/>
                          <a:ln>
                            <a:noFill/>
                          </a:ln>
                        </pic:spPr>
                      </pic:pic>
                    </a:graphicData>
                  </a:graphic>
                </wp:inline>
              </w:drawing>
            </w:r>
          </w:p>
        </w:tc>
        <w:tc>
          <w:tcPr>
            <w:tcW w:w="3061" w:type="dxa"/>
          </w:tcPr>
          <w:p w14:paraId="7570FD3A">
            <w:pPr>
              <w:pStyle w:val="55"/>
              <w:spacing w:before="31" w:after="31"/>
            </w:pPr>
            <w:r>
              <w:drawing>
                <wp:inline distT="0" distB="0" distL="114300" distR="114300">
                  <wp:extent cx="1503045" cy="2016125"/>
                  <wp:effectExtent l="0" t="0" r="5715" b="10795"/>
                  <wp:docPr id="7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8"/>
                          <pic:cNvPicPr>
                            <a:picLocks noChangeAspect="1"/>
                          </pic:cNvPicPr>
                        </pic:nvPicPr>
                        <pic:blipFill>
                          <a:blip r:embed="rId517"/>
                          <a:stretch>
                            <a:fillRect/>
                          </a:stretch>
                        </pic:blipFill>
                        <pic:spPr>
                          <a:xfrm>
                            <a:off x="0" y="0"/>
                            <a:ext cx="1503045" cy="2016125"/>
                          </a:xfrm>
                          <a:prstGeom prst="rect">
                            <a:avLst/>
                          </a:prstGeom>
                          <a:noFill/>
                          <a:ln>
                            <a:noFill/>
                          </a:ln>
                        </pic:spPr>
                      </pic:pic>
                    </a:graphicData>
                  </a:graphic>
                </wp:inline>
              </w:drawing>
            </w:r>
          </w:p>
        </w:tc>
      </w:tr>
      <w:tr w14:paraId="30BB8B09">
        <w:tblPrEx>
          <w:tblCellMar>
            <w:top w:w="0" w:type="dxa"/>
            <w:left w:w="108" w:type="dxa"/>
            <w:bottom w:w="0" w:type="dxa"/>
            <w:right w:w="108" w:type="dxa"/>
          </w:tblCellMar>
        </w:tblPrEx>
        <w:trPr>
          <w:jc w:val="center"/>
        </w:trPr>
        <w:tc>
          <w:tcPr>
            <w:tcW w:w="3061" w:type="dxa"/>
          </w:tcPr>
          <w:p w14:paraId="0B349E68">
            <w:pPr>
              <w:pStyle w:val="55"/>
              <w:spacing w:before="31" w:after="31"/>
            </w:pPr>
            <w:r>
              <w:t>（a）</w:t>
            </w:r>
            <w:r>
              <w:rPr>
                <w:rFonts w:hint="eastAsia"/>
              </w:rPr>
              <w:t>内侧设置条带</w:t>
            </w:r>
          </w:p>
        </w:tc>
        <w:tc>
          <w:tcPr>
            <w:tcW w:w="3061" w:type="dxa"/>
          </w:tcPr>
          <w:p w14:paraId="7CADC06A">
            <w:pPr>
              <w:pStyle w:val="55"/>
              <w:spacing w:before="31" w:after="31"/>
            </w:pPr>
            <w:r>
              <w:t>（</w:t>
            </w:r>
            <w:r>
              <w:rPr>
                <w:rFonts w:hint="eastAsia"/>
              </w:rPr>
              <w:t>b</w:t>
            </w:r>
            <w:r>
              <w:t>）</w:t>
            </w:r>
            <w:r>
              <w:rPr>
                <w:rFonts w:hint="eastAsia"/>
              </w:rPr>
              <w:t>内侧设置钢拉杆</w:t>
            </w:r>
          </w:p>
        </w:tc>
      </w:tr>
      <w:tr w14:paraId="7E7DD6F5">
        <w:tblPrEx>
          <w:tblCellMar>
            <w:top w:w="0" w:type="dxa"/>
            <w:left w:w="108" w:type="dxa"/>
            <w:bottom w:w="0" w:type="dxa"/>
            <w:right w:w="108" w:type="dxa"/>
          </w:tblCellMar>
        </w:tblPrEx>
        <w:trPr>
          <w:jc w:val="center"/>
        </w:trPr>
        <w:tc>
          <w:tcPr>
            <w:tcW w:w="6122" w:type="dxa"/>
            <w:gridSpan w:val="2"/>
          </w:tcPr>
          <w:p w14:paraId="25D19ABC">
            <w:pPr>
              <w:pStyle w:val="55"/>
              <w:spacing w:before="31" w:after="31"/>
            </w:pPr>
            <w:r>
              <w:rPr>
                <w:rFonts w:hint="eastAsia"/>
              </w:rPr>
              <w:t>图</w:t>
            </w:r>
            <w:r>
              <w:t>C.5.6</w:t>
            </w:r>
            <w:r>
              <w:rPr>
                <w:rFonts w:hint="eastAsia"/>
              </w:rPr>
              <w:t xml:space="preserve"> 相邻建筑物的端山墙加固平面示意图</w:t>
            </w:r>
          </w:p>
          <w:p w14:paraId="7529D631">
            <w:pPr>
              <w:pStyle w:val="55"/>
              <w:spacing w:before="31" w:after="31"/>
            </w:pPr>
            <w:r>
              <w:rPr>
                <w:rFonts w:hint="eastAsia"/>
              </w:rPr>
              <w:t>1—端山墙；2—外纵墙；3—相邻建筑物；4—高延性混凝土条带</w:t>
            </w:r>
          </w:p>
          <w:p w14:paraId="610B02F8">
            <w:pPr>
              <w:pStyle w:val="55"/>
              <w:spacing w:before="31" w:after="31"/>
            </w:pPr>
            <w:r>
              <w:rPr>
                <w:rFonts w:hint="eastAsia"/>
              </w:rPr>
              <w:t>5—钢拉杆；6—钢垫板</w:t>
            </w:r>
          </w:p>
        </w:tc>
      </w:tr>
    </w:tbl>
    <w:p w14:paraId="276CECCD">
      <w:pPr>
        <w:pStyle w:val="4"/>
      </w:pPr>
    </w:p>
    <w:p w14:paraId="06EFABA8">
      <w:pPr>
        <w:pStyle w:val="3"/>
      </w:pPr>
      <w:bookmarkStart w:id="1198" w:name="_Toc207111746"/>
      <w:bookmarkStart w:id="1199" w:name="_Toc24123"/>
      <w:bookmarkStart w:id="1200" w:name="_Toc1810"/>
      <w:r>
        <w:rPr>
          <w:rFonts w:hint="eastAsia"/>
        </w:rPr>
        <w:t>C.6</w:t>
      </w:r>
      <w:r>
        <w:rPr>
          <w:szCs w:val="28"/>
        </w:rPr>
        <w:t xml:space="preserve">  </w:t>
      </w:r>
      <w:r>
        <w:rPr>
          <w:rFonts w:hint="eastAsia"/>
        </w:rPr>
        <w:t>构件加固与修复</w:t>
      </w:r>
      <w:bookmarkEnd w:id="1198"/>
      <w:bookmarkEnd w:id="1199"/>
      <w:bookmarkEnd w:id="1200"/>
    </w:p>
    <w:p w14:paraId="3398EF53">
      <w:pPr>
        <w:pStyle w:val="4"/>
      </w:pPr>
      <w:r>
        <w:rPr>
          <w:rFonts w:hint="eastAsia"/>
          <w:b/>
        </w:rPr>
        <w:t>C.6</w:t>
      </w:r>
      <w:r>
        <w:rPr>
          <w:b/>
        </w:rPr>
        <w:t>.</w:t>
      </w:r>
      <w:r>
        <w:rPr>
          <w:rFonts w:hint="eastAsia"/>
          <w:b/>
        </w:rPr>
        <w:t>1</w:t>
      </w:r>
      <w:r>
        <w:t xml:space="preserve">  墙体裂缝修复应符合下列规定：</w:t>
      </w:r>
    </w:p>
    <w:p w14:paraId="0D220BD6">
      <w:pPr>
        <w:ind w:firstLine="422"/>
      </w:pPr>
      <w:r>
        <w:rPr>
          <w:b/>
          <w:bCs/>
          <w:szCs w:val="21"/>
        </w:rPr>
        <w:t xml:space="preserve">1  </w:t>
      </w:r>
      <w:r>
        <w:t>墙体裂缝较少且缝宽不大于</w:t>
      </w:r>
      <w:r>
        <w:rPr>
          <w:rFonts w:hint="eastAsia"/>
        </w:rPr>
        <w:t>2</w:t>
      </w:r>
      <w:r>
        <w:t>mm时，可参照现行国家标准《砌体结构加固设计规范》GB 50702的相关规定对裂缝进行修复处理；</w:t>
      </w:r>
    </w:p>
    <w:p w14:paraId="6E2CCB8F">
      <w:pPr>
        <w:ind w:firstLine="422"/>
        <w:rPr>
          <w:b/>
          <w:bCs/>
        </w:rPr>
      </w:pPr>
      <w:r>
        <w:rPr>
          <w:rFonts w:hint="eastAsia"/>
          <w:b/>
          <w:bCs/>
          <w:szCs w:val="21"/>
        </w:rPr>
        <w:t xml:space="preserve">2  </w:t>
      </w:r>
      <w:r>
        <w:rPr>
          <w:rFonts w:hint="eastAsia"/>
        </w:rPr>
        <w:t>生土墙体裂缝应优先选用相同原材料进行修补；</w:t>
      </w:r>
    </w:p>
    <w:p w14:paraId="478A1D57">
      <w:pPr>
        <w:ind w:firstLine="422"/>
      </w:pPr>
      <w:r>
        <w:rPr>
          <w:rFonts w:hint="eastAsia"/>
          <w:b/>
          <w:bCs/>
        </w:rPr>
        <w:t>3</w:t>
      </w:r>
      <w:r>
        <w:t xml:space="preserve">  墙体裂缝宽度</w:t>
      </w:r>
      <w:r>
        <w:rPr>
          <w:rFonts w:hint="eastAsia"/>
        </w:rPr>
        <w:t>2~5</w:t>
      </w:r>
      <w:r>
        <w:t>mm且裂缝数量较多时，对裂缝按现行国家标准《砌体结构加固设计规范》GB 50702的规定进行处理后，宜在裂缝部位水平灰缝处嵌入</w:t>
      </w:r>
      <w:r>
        <w:rPr>
          <w:i/>
          <w:iCs/>
          <w:highlight w:val="yellow"/>
        </w:rPr>
        <w:t></w:t>
      </w:r>
      <w:r>
        <w:rPr>
          <w:rFonts w:hint="eastAsia"/>
          <w:highlight w:val="yellow"/>
        </w:rPr>
        <w:t>8</w:t>
      </w:r>
      <w:r>
        <w:t>的拉结筋（图8.</w:t>
      </w:r>
      <w:r>
        <w:rPr>
          <w:rFonts w:hint="eastAsia"/>
        </w:rPr>
        <w:t>0.</w:t>
      </w:r>
      <w:r>
        <w:t>1），并</w:t>
      </w:r>
      <w:r>
        <w:rPr>
          <w:rFonts w:hint="eastAsia"/>
        </w:rPr>
        <w:t>宜</w:t>
      </w:r>
      <w:r>
        <w:t>对墙体采用高延性混凝土进行</w:t>
      </w:r>
      <w:r>
        <w:rPr>
          <w:rFonts w:hint="eastAsia"/>
        </w:rPr>
        <w:t>抗裂处理</w:t>
      </w:r>
      <w:r>
        <w:t>。</w:t>
      </w:r>
    </w:p>
    <w:tbl>
      <w:tblPr>
        <w:tblStyle w:val="28"/>
        <w:tblW w:w="6341" w:type="dxa"/>
        <w:jc w:val="center"/>
        <w:tblLayout w:type="fixed"/>
        <w:tblCellMar>
          <w:top w:w="0" w:type="dxa"/>
          <w:left w:w="108" w:type="dxa"/>
          <w:bottom w:w="0" w:type="dxa"/>
          <w:right w:w="108" w:type="dxa"/>
        </w:tblCellMar>
      </w:tblPr>
      <w:tblGrid>
        <w:gridCol w:w="3657"/>
        <w:gridCol w:w="2684"/>
      </w:tblGrid>
      <w:tr w14:paraId="02657A95">
        <w:tblPrEx>
          <w:tblCellMar>
            <w:top w:w="0" w:type="dxa"/>
            <w:left w:w="108" w:type="dxa"/>
            <w:bottom w:w="0" w:type="dxa"/>
            <w:right w:w="108" w:type="dxa"/>
          </w:tblCellMar>
        </w:tblPrEx>
        <w:trPr>
          <w:jc w:val="center"/>
        </w:trPr>
        <w:tc>
          <w:tcPr>
            <w:tcW w:w="3657" w:type="dxa"/>
            <w:vAlign w:val="center"/>
          </w:tcPr>
          <w:p w14:paraId="18947E21">
            <w:pPr>
              <w:pStyle w:val="55"/>
              <w:spacing w:before="31" w:after="31"/>
            </w:pPr>
            <w:r>
              <w:drawing>
                <wp:inline distT="0" distB="0" distL="114300" distR="114300">
                  <wp:extent cx="2182495" cy="1644650"/>
                  <wp:effectExtent l="0" t="0" r="12065" b="1270"/>
                  <wp:docPr id="6761194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19467" name="图片 7"/>
                          <pic:cNvPicPr>
                            <a:picLocks noChangeAspect="1"/>
                          </pic:cNvPicPr>
                        </pic:nvPicPr>
                        <pic:blipFill>
                          <a:blip r:embed="rId518"/>
                          <a:stretch>
                            <a:fillRect/>
                          </a:stretch>
                        </pic:blipFill>
                        <pic:spPr>
                          <a:xfrm>
                            <a:off x="0" y="0"/>
                            <a:ext cx="2182495" cy="1644650"/>
                          </a:xfrm>
                          <a:prstGeom prst="rect">
                            <a:avLst/>
                          </a:prstGeom>
                          <a:noFill/>
                          <a:ln>
                            <a:noFill/>
                          </a:ln>
                        </pic:spPr>
                      </pic:pic>
                    </a:graphicData>
                  </a:graphic>
                </wp:inline>
              </w:drawing>
            </w:r>
          </w:p>
        </w:tc>
        <w:tc>
          <w:tcPr>
            <w:tcW w:w="2684" w:type="dxa"/>
            <w:vAlign w:val="center"/>
          </w:tcPr>
          <w:p w14:paraId="13B78491">
            <w:pPr>
              <w:pStyle w:val="55"/>
              <w:spacing w:before="31" w:after="31"/>
            </w:pPr>
            <w:r>
              <w:drawing>
                <wp:inline distT="0" distB="0" distL="114300" distR="114300">
                  <wp:extent cx="809625" cy="466725"/>
                  <wp:effectExtent l="0" t="0" r="9525" b="0"/>
                  <wp:docPr id="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1"/>
                          <pic:cNvPicPr>
                            <a:picLocks noChangeAspect="1"/>
                          </pic:cNvPicPr>
                        </pic:nvPicPr>
                        <pic:blipFill>
                          <a:blip r:embed="rId519"/>
                          <a:srcRect b="-9369"/>
                          <a:stretch>
                            <a:fillRect/>
                          </a:stretch>
                        </pic:blipFill>
                        <pic:spPr>
                          <a:xfrm>
                            <a:off x="0" y="0"/>
                            <a:ext cx="809625" cy="466725"/>
                          </a:xfrm>
                          <a:prstGeom prst="rect">
                            <a:avLst/>
                          </a:prstGeom>
                          <a:noFill/>
                          <a:ln>
                            <a:noFill/>
                          </a:ln>
                        </pic:spPr>
                      </pic:pic>
                    </a:graphicData>
                  </a:graphic>
                </wp:inline>
              </w:drawing>
            </w:r>
          </w:p>
        </w:tc>
      </w:tr>
      <w:tr w14:paraId="0429D776">
        <w:tblPrEx>
          <w:tblCellMar>
            <w:top w:w="0" w:type="dxa"/>
            <w:left w:w="108" w:type="dxa"/>
            <w:bottom w:w="0" w:type="dxa"/>
            <w:right w:w="108" w:type="dxa"/>
          </w:tblCellMar>
        </w:tblPrEx>
        <w:trPr>
          <w:trHeight w:val="139" w:hRule="atLeast"/>
          <w:jc w:val="center"/>
        </w:trPr>
        <w:tc>
          <w:tcPr>
            <w:tcW w:w="3657" w:type="dxa"/>
          </w:tcPr>
          <w:p w14:paraId="0A1C59AF">
            <w:pPr>
              <w:pStyle w:val="55"/>
              <w:spacing w:before="31" w:after="31"/>
            </w:pPr>
            <w:r>
              <w:t>（a）立面示意图</w:t>
            </w:r>
          </w:p>
        </w:tc>
        <w:tc>
          <w:tcPr>
            <w:tcW w:w="2684" w:type="dxa"/>
          </w:tcPr>
          <w:p w14:paraId="7CA940DA">
            <w:pPr>
              <w:pStyle w:val="55"/>
              <w:spacing w:before="31" w:after="31"/>
            </w:pPr>
            <w:r>
              <w:t>（</w:t>
            </w:r>
            <w:r>
              <w:rPr>
                <w:rFonts w:hint="eastAsia"/>
              </w:rPr>
              <w:t>b</w:t>
            </w:r>
            <w:r>
              <w:t>）拉结筋大样</w:t>
            </w:r>
          </w:p>
        </w:tc>
      </w:tr>
      <w:tr w14:paraId="7F2FA6CF">
        <w:tblPrEx>
          <w:tblCellMar>
            <w:top w:w="0" w:type="dxa"/>
            <w:left w:w="108" w:type="dxa"/>
            <w:bottom w:w="0" w:type="dxa"/>
            <w:right w:w="108" w:type="dxa"/>
          </w:tblCellMar>
        </w:tblPrEx>
        <w:trPr>
          <w:trHeight w:val="312" w:hRule="atLeast"/>
          <w:jc w:val="center"/>
        </w:trPr>
        <w:tc>
          <w:tcPr>
            <w:tcW w:w="6341" w:type="dxa"/>
            <w:gridSpan w:val="2"/>
          </w:tcPr>
          <w:p w14:paraId="543B8030">
            <w:pPr>
              <w:pStyle w:val="55"/>
              <w:spacing w:before="31" w:after="31"/>
            </w:pPr>
            <w:r>
              <w:t>图C.6.1 墙体裂缝处理示意图</w:t>
            </w:r>
          </w:p>
          <w:p w14:paraId="09B1A5BB">
            <w:pPr>
              <w:pStyle w:val="55"/>
              <w:spacing w:before="31" w:after="31"/>
            </w:pPr>
            <w:r>
              <w:t>1—</w:t>
            </w:r>
            <w:r>
              <w:rPr>
                <w:highlight w:val="yellow"/>
              </w:rPr>
              <w:t></w:t>
            </w:r>
            <w:r>
              <w:rPr>
                <w:rFonts w:hint="eastAsia"/>
              </w:rPr>
              <w:t>8</w:t>
            </w:r>
            <w:r>
              <w:t>拉结筋嵌入灰缝，嵌入深度≥30mm；</w:t>
            </w:r>
          </w:p>
        </w:tc>
      </w:tr>
    </w:tbl>
    <w:p w14:paraId="621F5606">
      <w:pPr>
        <w:pStyle w:val="4"/>
      </w:pPr>
      <w:r>
        <w:rPr>
          <w:rFonts w:hint="eastAsia"/>
          <w:b/>
        </w:rPr>
        <w:t>C.6</w:t>
      </w:r>
      <w:r>
        <w:rPr>
          <w:b/>
        </w:rPr>
        <w:t>.</w:t>
      </w:r>
      <w:r>
        <w:rPr>
          <w:rFonts w:hint="eastAsia"/>
          <w:b/>
        </w:rPr>
        <w:t xml:space="preserve">2  </w:t>
      </w:r>
      <w:r>
        <w:t>门窗洞口过梁加固应符合下列规定：</w:t>
      </w:r>
    </w:p>
    <w:p w14:paraId="673403B6">
      <w:pPr>
        <w:ind w:firstLine="422"/>
      </w:pPr>
      <w:r>
        <w:rPr>
          <w:b/>
          <w:bCs/>
        </w:rPr>
        <w:t>1</w:t>
      </w:r>
      <w:r>
        <w:t xml:space="preserve">  对净跨度</w:t>
      </w:r>
      <w:r>
        <w:rPr>
          <w:i/>
          <w:iCs/>
        </w:rPr>
        <w:t>l</w:t>
      </w:r>
      <w:r>
        <w:rPr>
          <w:vertAlign w:val="subscript"/>
        </w:rPr>
        <w:t>n</w:t>
      </w:r>
      <w:r>
        <w:t>≤1.5m的砖过梁或钢筋砖过梁，当过梁中部竖向裂缝宽度不大于2mm或过梁端部斜裂缝宽度不大于1mm时，可在过梁部位压抹高延性混凝土水平条带进行加固（图C.6.2-1），高延性混凝土在洞口边应压抹至窗框边或闭合，条带厚度可按表</w:t>
      </w:r>
      <w:r>
        <w:rPr>
          <w:rFonts w:hint="eastAsia"/>
          <w:b/>
        </w:rPr>
        <w:t>C.5</w:t>
      </w:r>
      <w:r>
        <w:rPr>
          <w:b/>
        </w:rPr>
        <w:t>.</w:t>
      </w:r>
      <w:r>
        <w:rPr>
          <w:rFonts w:hint="eastAsia"/>
          <w:b/>
        </w:rPr>
        <w:t>3</w:t>
      </w:r>
      <w:r>
        <w:t>取值；</w:t>
      </w:r>
    </w:p>
    <w:tbl>
      <w:tblPr>
        <w:tblStyle w:val="28"/>
        <w:tblW w:w="6122" w:type="dxa"/>
        <w:jc w:val="center"/>
        <w:tblLayout w:type="fixed"/>
        <w:tblCellMar>
          <w:top w:w="0" w:type="dxa"/>
          <w:left w:w="108" w:type="dxa"/>
          <w:bottom w:w="0" w:type="dxa"/>
          <w:right w:w="108" w:type="dxa"/>
        </w:tblCellMar>
      </w:tblPr>
      <w:tblGrid>
        <w:gridCol w:w="6122"/>
      </w:tblGrid>
      <w:tr w14:paraId="1BD31F7E">
        <w:tblPrEx>
          <w:tblCellMar>
            <w:top w:w="0" w:type="dxa"/>
            <w:left w:w="108" w:type="dxa"/>
            <w:bottom w:w="0" w:type="dxa"/>
            <w:right w:w="108" w:type="dxa"/>
          </w:tblCellMar>
        </w:tblPrEx>
        <w:trPr>
          <w:jc w:val="center"/>
        </w:trPr>
        <w:tc>
          <w:tcPr>
            <w:tcW w:w="6122" w:type="dxa"/>
          </w:tcPr>
          <w:p w14:paraId="517F4DA9">
            <w:pPr>
              <w:spacing w:line="312" w:lineRule="atLeast"/>
              <w:ind w:firstLine="420"/>
              <w:jc w:val="center"/>
            </w:pPr>
            <w:r>
              <w:drawing>
                <wp:inline distT="0" distB="0" distL="114300" distR="114300">
                  <wp:extent cx="3748405" cy="2425065"/>
                  <wp:effectExtent l="0" t="0" r="635" b="13335"/>
                  <wp:docPr id="8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6"/>
                          <pic:cNvPicPr>
                            <a:picLocks noChangeAspect="1"/>
                          </pic:cNvPicPr>
                        </pic:nvPicPr>
                        <pic:blipFill>
                          <a:blip r:embed="rId520"/>
                          <a:stretch>
                            <a:fillRect/>
                          </a:stretch>
                        </pic:blipFill>
                        <pic:spPr>
                          <a:xfrm>
                            <a:off x="0" y="0"/>
                            <a:ext cx="3748405" cy="2425065"/>
                          </a:xfrm>
                          <a:prstGeom prst="rect">
                            <a:avLst/>
                          </a:prstGeom>
                          <a:noFill/>
                          <a:ln>
                            <a:noFill/>
                          </a:ln>
                        </pic:spPr>
                      </pic:pic>
                    </a:graphicData>
                  </a:graphic>
                </wp:inline>
              </w:drawing>
            </w:r>
          </w:p>
        </w:tc>
      </w:tr>
      <w:tr w14:paraId="01CBA887">
        <w:tblPrEx>
          <w:tblCellMar>
            <w:top w:w="0" w:type="dxa"/>
            <w:left w:w="108" w:type="dxa"/>
            <w:bottom w:w="0" w:type="dxa"/>
            <w:right w:w="108" w:type="dxa"/>
          </w:tblCellMar>
        </w:tblPrEx>
        <w:trPr>
          <w:jc w:val="center"/>
        </w:trPr>
        <w:tc>
          <w:tcPr>
            <w:tcW w:w="6122" w:type="dxa"/>
          </w:tcPr>
          <w:p w14:paraId="0D6BE91D">
            <w:pPr>
              <w:pStyle w:val="10"/>
              <w:spacing w:line="312" w:lineRule="exact"/>
              <w:ind w:firstLine="360"/>
              <w:jc w:val="center"/>
              <w:rPr>
                <w:rFonts w:eastAsia="黑体"/>
                <w:b/>
                <w:bCs/>
                <w:sz w:val="18"/>
                <w:szCs w:val="18"/>
              </w:rPr>
            </w:pPr>
            <w:r>
              <w:rPr>
                <w:rFonts w:eastAsia="黑体" w:cs="Times New Roman"/>
                <w:bCs/>
                <w:sz w:val="18"/>
                <w:szCs w:val="18"/>
              </w:rPr>
              <w:t>图</w:t>
            </w:r>
            <w:r>
              <w:rPr>
                <w:rFonts w:eastAsia="黑体" w:cs="Times New Roman"/>
                <w:b/>
                <w:sz w:val="18"/>
                <w:szCs w:val="18"/>
              </w:rPr>
              <w:t>C.6.2-1</w:t>
            </w:r>
            <w:r>
              <w:rPr>
                <w:rFonts w:eastAsia="黑体" w:cs="Times New Roman"/>
                <w:bCs/>
                <w:sz w:val="18"/>
                <w:szCs w:val="18"/>
              </w:rPr>
              <w:t xml:space="preserve"> 门窗洞口过梁加固示意图1</w:t>
            </w:r>
          </w:p>
          <w:p w14:paraId="7FDAA3D2">
            <w:pPr>
              <w:pStyle w:val="10"/>
              <w:spacing w:line="312" w:lineRule="exact"/>
              <w:ind w:firstLine="360"/>
              <w:jc w:val="center"/>
              <w:rPr>
                <w:rFonts w:eastAsia="黑体"/>
                <w:b/>
                <w:bCs/>
                <w:sz w:val="18"/>
                <w:szCs w:val="18"/>
              </w:rPr>
            </w:pPr>
            <w:r>
              <w:rPr>
                <w:rFonts w:eastAsia="方正书宋简体" w:cs="Times New Roman"/>
                <w:bCs/>
                <w:sz w:val="18"/>
                <w:szCs w:val="18"/>
              </w:rPr>
              <w:t>1—高延性混凝土；2—原墙体；</w:t>
            </w:r>
          </w:p>
        </w:tc>
      </w:tr>
    </w:tbl>
    <w:p w14:paraId="7D0CF29E">
      <w:pPr>
        <w:ind w:firstLine="422"/>
      </w:pPr>
      <w:r>
        <w:rPr>
          <w:b/>
          <w:bCs/>
        </w:rPr>
        <w:t>2</w:t>
      </w:r>
      <w:r>
        <w:t xml:space="preserve">  对净跨度1.5m＜</w:t>
      </w:r>
      <w:r>
        <w:rPr>
          <w:i/>
          <w:iCs/>
        </w:rPr>
        <w:t>l</w:t>
      </w:r>
      <w:r>
        <w:rPr>
          <w:vertAlign w:val="subscript"/>
        </w:rPr>
        <w:t>n</w:t>
      </w:r>
      <w:r>
        <w:t>≤1.8m的砖过梁或钢筋砖过梁，当砖过梁中部产生宽度大于2mm的竖向裂缝，或端部产生宽度大于1mm的斜裂缝、过梁产生明显弯曲、下沉变形时，应在过梁底部增设2根直径不小于10mm的水平钢筋，再采用高延性混凝土水平条带进行加固，钢筋在两端延伸至支座处长度为250mm（图C.6.2-2）。当砖过梁或钢筋砖过梁净跨度1.8m＜</w:t>
      </w:r>
      <w:r>
        <w:rPr>
          <w:i/>
          <w:iCs/>
        </w:rPr>
        <w:t>l</w:t>
      </w:r>
      <w:r>
        <w:rPr>
          <w:vertAlign w:val="subscript"/>
        </w:rPr>
        <w:t>n</w:t>
      </w:r>
      <w:r>
        <w:t>≤2.1m时，过梁底部增设的水平钢筋直径不应小于12mm。</w:t>
      </w:r>
    </w:p>
    <w:p w14:paraId="74C4A4B6">
      <w:pPr>
        <w:pStyle w:val="4"/>
      </w:pPr>
      <w:bookmarkStart w:id="1201" w:name="_Hlk207111126"/>
      <w:r>
        <w:rPr>
          <w:b/>
        </w:rPr>
        <w:t>C.6.</w:t>
      </w:r>
      <w:r>
        <w:rPr>
          <w:rFonts w:hint="eastAsia"/>
          <w:b/>
        </w:rPr>
        <w:t>3</w:t>
      </w:r>
      <w:bookmarkEnd w:id="1201"/>
      <w:r>
        <w:rPr>
          <w:b/>
        </w:rPr>
        <w:t xml:space="preserve"> </w:t>
      </w:r>
      <w:r>
        <w:t xml:space="preserve"> 对独立承重砖柱，应采用高延性混凝土面层整体加固（图C.6.3），面层最小厚度应按表</w:t>
      </w:r>
      <w:r>
        <w:rPr>
          <w:rFonts w:hint="eastAsia"/>
        </w:rPr>
        <w:t>7.2</w:t>
      </w:r>
      <w:r>
        <w:t>.1取值。当独立砖柱为偏心受压或受压承载力不足时，宜在高延性混凝土面层内部配置纵筋和箍筋，其加固面层应从基础做起。</w:t>
      </w:r>
    </w:p>
    <w:tbl>
      <w:tblPr>
        <w:tblStyle w:val="28"/>
        <w:tblW w:w="6122" w:type="dxa"/>
        <w:jc w:val="center"/>
        <w:tblLayout w:type="fixed"/>
        <w:tblCellMar>
          <w:top w:w="0" w:type="dxa"/>
          <w:left w:w="108" w:type="dxa"/>
          <w:bottom w:w="0" w:type="dxa"/>
          <w:right w:w="108" w:type="dxa"/>
        </w:tblCellMar>
      </w:tblPr>
      <w:tblGrid>
        <w:gridCol w:w="6122"/>
      </w:tblGrid>
      <w:tr w14:paraId="2B9A01E6">
        <w:tblPrEx>
          <w:tblCellMar>
            <w:top w:w="0" w:type="dxa"/>
            <w:left w:w="108" w:type="dxa"/>
            <w:bottom w:w="0" w:type="dxa"/>
            <w:right w:w="108" w:type="dxa"/>
          </w:tblCellMar>
        </w:tblPrEx>
        <w:trPr>
          <w:trHeight w:val="3448" w:hRule="atLeast"/>
          <w:jc w:val="center"/>
        </w:trPr>
        <w:tc>
          <w:tcPr>
            <w:tcW w:w="6122" w:type="dxa"/>
            <w:vAlign w:val="center"/>
          </w:tcPr>
          <w:p w14:paraId="36EFE110">
            <w:pPr>
              <w:pStyle w:val="55"/>
              <w:spacing w:before="31" w:after="31"/>
            </w:pPr>
            <w:r>
              <w:drawing>
                <wp:inline distT="0" distB="0" distL="114300" distR="114300">
                  <wp:extent cx="3746500" cy="2389505"/>
                  <wp:effectExtent l="0" t="0" r="2540" b="3175"/>
                  <wp:docPr id="8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8"/>
                          <pic:cNvPicPr>
                            <a:picLocks noChangeAspect="1"/>
                          </pic:cNvPicPr>
                        </pic:nvPicPr>
                        <pic:blipFill>
                          <a:blip r:embed="rId521"/>
                          <a:stretch>
                            <a:fillRect/>
                          </a:stretch>
                        </pic:blipFill>
                        <pic:spPr>
                          <a:xfrm>
                            <a:off x="0" y="0"/>
                            <a:ext cx="3746500" cy="2389505"/>
                          </a:xfrm>
                          <a:prstGeom prst="rect">
                            <a:avLst/>
                          </a:prstGeom>
                          <a:noFill/>
                          <a:ln>
                            <a:noFill/>
                          </a:ln>
                        </pic:spPr>
                      </pic:pic>
                    </a:graphicData>
                  </a:graphic>
                </wp:inline>
              </w:drawing>
            </w:r>
          </w:p>
        </w:tc>
      </w:tr>
      <w:tr w14:paraId="7614910D">
        <w:tblPrEx>
          <w:tblCellMar>
            <w:top w:w="0" w:type="dxa"/>
            <w:left w:w="108" w:type="dxa"/>
            <w:bottom w:w="0" w:type="dxa"/>
            <w:right w:w="108" w:type="dxa"/>
          </w:tblCellMar>
        </w:tblPrEx>
        <w:trPr>
          <w:jc w:val="center"/>
        </w:trPr>
        <w:tc>
          <w:tcPr>
            <w:tcW w:w="6122" w:type="dxa"/>
            <w:vAlign w:val="center"/>
          </w:tcPr>
          <w:p w14:paraId="4E479B49">
            <w:pPr>
              <w:pStyle w:val="55"/>
              <w:spacing w:before="31" w:after="31"/>
            </w:pPr>
            <w:r>
              <w:t>图C.6.2-2 门窗洞口过梁加固示意图2</w:t>
            </w:r>
          </w:p>
          <w:p w14:paraId="2C1D2B58">
            <w:pPr>
              <w:pStyle w:val="55"/>
              <w:spacing w:before="31" w:after="31"/>
            </w:pPr>
            <w:r>
              <w:t>1—高延性混凝土；2—原墙体；3—水平钢筋</w:t>
            </w:r>
          </w:p>
        </w:tc>
      </w:tr>
      <w:tr w14:paraId="3CEDCB23">
        <w:tblPrEx>
          <w:tblCellMar>
            <w:top w:w="0" w:type="dxa"/>
            <w:left w:w="108" w:type="dxa"/>
            <w:bottom w:w="0" w:type="dxa"/>
            <w:right w:w="108" w:type="dxa"/>
          </w:tblCellMar>
        </w:tblPrEx>
        <w:trPr>
          <w:jc w:val="center"/>
        </w:trPr>
        <w:tc>
          <w:tcPr>
            <w:tcW w:w="6122" w:type="dxa"/>
            <w:vAlign w:val="center"/>
          </w:tcPr>
          <w:p w14:paraId="0E0DA7DF">
            <w:pPr>
              <w:pStyle w:val="55"/>
              <w:spacing w:before="31" w:after="31"/>
            </w:pPr>
            <w:r>
              <w:drawing>
                <wp:inline distT="0" distB="0" distL="114300" distR="114300">
                  <wp:extent cx="1017270" cy="720090"/>
                  <wp:effectExtent l="0" t="0" r="3810" b="11430"/>
                  <wp:docPr id="8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9"/>
                          <pic:cNvPicPr>
                            <a:picLocks noChangeAspect="1"/>
                          </pic:cNvPicPr>
                        </pic:nvPicPr>
                        <pic:blipFill>
                          <a:blip r:embed="rId522"/>
                          <a:stretch>
                            <a:fillRect/>
                          </a:stretch>
                        </pic:blipFill>
                        <pic:spPr>
                          <a:xfrm>
                            <a:off x="0" y="0"/>
                            <a:ext cx="1017270" cy="720090"/>
                          </a:xfrm>
                          <a:prstGeom prst="rect">
                            <a:avLst/>
                          </a:prstGeom>
                          <a:noFill/>
                          <a:ln>
                            <a:noFill/>
                          </a:ln>
                        </pic:spPr>
                      </pic:pic>
                    </a:graphicData>
                  </a:graphic>
                </wp:inline>
              </w:drawing>
            </w:r>
          </w:p>
        </w:tc>
      </w:tr>
      <w:tr w14:paraId="02D1B782">
        <w:tblPrEx>
          <w:tblCellMar>
            <w:top w:w="0" w:type="dxa"/>
            <w:left w:w="108" w:type="dxa"/>
            <w:bottom w:w="0" w:type="dxa"/>
            <w:right w:w="108" w:type="dxa"/>
          </w:tblCellMar>
        </w:tblPrEx>
        <w:trPr>
          <w:jc w:val="center"/>
        </w:trPr>
        <w:tc>
          <w:tcPr>
            <w:tcW w:w="6122" w:type="dxa"/>
            <w:vAlign w:val="center"/>
          </w:tcPr>
          <w:p w14:paraId="0996CF3E">
            <w:pPr>
              <w:pStyle w:val="55"/>
              <w:spacing w:before="31" w:after="31"/>
            </w:pPr>
            <w:r>
              <w:t>图C.6.3 加固独立砖柱做法示意图</w:t>
            </w:r>
          </w:p>
          <w:p w14:paraId="7999229C">
            <w:pPr>
              <w:pStyle w:val="55"/>
              <w:spacing w:before="31" w:after="31"/>
            </w:pPr>
            <w:r>
              <w:t>1—高延性混凝土面层；2—独立砖柱</w:t>
            </w:r>
          </w:p>
        </w:tc>
      </w:tr>
    </w:tbl>
    <w:p w14:paraId="58695E85">
      <w:pPr>
        <w:pStyle w:val="3"/>
      </w:pPr>
    </w:p>
    <w:p w14:paraId="6C956075">
      <w:pPr>
        <w:pStyle w:val="3"/>
      </w:pPr>
      <w:bookmarkStart w:id="1202" w:name="_Toc207111747"/>
      <w:r>
        <w:rPr>
          <w:rFonts w:hint="eastAsia"/>
        </w:rPr>
        <w:t>C.7  施工</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r>
        <w:rPr>
          <w:rFonts w:hint="eastAsia"/>
        </w:rPr>
        <w:t>与质量验收</w:t>
      </w:r>
      <w:bookmarkEnd w:id="1189"/>
      <w:bookmarkEnd w:id="1190"/>
      <w:bookmarkEnd w:id="1191"/>
      <w:bookmarkEnd w:id="1192"/>
      <w:bookmarkEnd w:id="1193"/>
      <w:bookmarkEnd w:id="1194"/>
      <w:bookmarkEnd w:id="1195"/>
      <w:bookmarkEnd w:id="1196"/>
      <w:bookmarkEnd w:id="1202"/>
    </w:p>
    <w:p w14:paraId="39A24A10">
      <w:pPr>
        <w:pStyle w:val="4"/>
      </w:pPr>
      <w:bookmarkStart w:id="1203" w:name="_Toc9927794"/>
      <w:bookmarkStart w:id="1204" w:name="_Toc7976223"/>
      <w:bookmarkStart w:id="1205" w:name="_Toc25070481"/>
      <w:bookmarkStart w:id="1206" w:name="_Toc25690757"/>
      <w:bookmarkStart w:id="1207" w:name="_Toc19545635"/>
      <w:bookmarkStart w:id="1208" w:name="_Toc10207336"/>
      <w:bookmarkStart w:id="1209" w:name="_Toc25691028"/>
      <w:bookmarkStart w:id="1210" w:name="_Toc19545365"/>
      <w:bookmarkStart w:id="1211" w:name="_Toc25070783"/>
      <w:r>
        <w:rPr>
          <w:rFonts w:hint="eastAsia"/>
          <w:b/>
        </w:rPr>
        <w:t>C.7</w:t>
      </w:r>
      <w:r>
        <w:rPr>
          <w:b/>
        </w:rPr>
        <w:t>.1</w:t>
      </w:r>
      <w:r>
        <w:t xml:space="preserve">  </w:t>
      </w:r>
      <w:r>
        <w:rPr>
          <w:rFonts w:hAnsi="宋体"/>
        </w:rPr>
        <w:t>高延性混凝土加固</w:t>
      </w:r>
      <w:r>
        <w:rPr>
          <w:rFonts w:hint="eastAsia" w:hAnsi="宋体"/>
        </w:rPr>
        <w:t>砌体结构农村房屋</w:t>
      </w:r>
      <w:r>
        <w:rPr>
          <w:rFonts w:hint="eastAsia"/>
        </w:rPr>
        <w:t>的</w:t>
      </w:r>
      <w:r>
        <w:t>施工质量</w:t>
      </w:r>
      <w:r>
        <w:rPr>
          <w:rFonts w:hint="eastAsia"/>
        </w:rPr>
        <w:t>检验，应以单栋房屋为一个检验批</w:t>
      </w:r>
      <w:r>
        <w:t>。</w:t>
      </w:r>
    </w:p>
    <w:p w14:paraId="22000E79">
      <w:pPr>
        <w:pStyle w:val="4"/>
      </w:pPr>
      <w:r>
        <w:rPr>
          <w:rFonts w:hint="eastAsia"/>
          <w:b/>
        </w:rPr>
        <w:t>C.7</w:t>
      </w:r>
      <w:r>
        <w:rPr>
          <w:b/>
        </w:rPr>
        <w:t>.</w:t>
      </w:r>
      <w:r>
        <w:rPr>
          <w:rFonts w:hint="eastAsia"/>
          <w:b/>
        </w:rPr>
        <w:t>2</w:t>
      </w:r>
      <w:r>
        <w:t xml:space="preserve">  </w:t>
      </w:r>
      <w:r>
        <w:rPr>
          <w:rFonts w:hAnsi="宋体"/>
        </w:rPr>
        <w:t>加固</w:t>
      </w:r>
      <w:r>
        <w:rPr>
          <w:rFonts w:hint="eastAsia" w:hAnsi="宋体"/>
        </w:rPr>
        <w:t>砌体结构农村房屋</w:t>
      </w:r>
      <w:r>
        <w:t>施工</w:t>
      </w:r>
      <w:r>
        <w:rPr>
          <w:rFonts w:hint="eastAsia"/>
        </w:rPr>
        <w:t>时，高延性混凝土力学性能检验应以加固的</w:t>
      </w:r>
      <w:r>
        <w:t>50</w:t>
      </w:r>
      <w:r>
        <w:rPr>
          <w:rFonts w:hint="eastAsia"/>
        </w:rPr>
        <w:t>栋农村房屋为一个检验批</w:t>
      </w:r>
      <w:r>
        <w:t>，不足50</w:t>
      </w:r>
      <w:r>
        <w:rPr>
          <w:rFonts w:hint="eastAsia"/>
        </w:rPr>
        <w:t>栋</w:t>
      </w:r>
      <w:r>
        <w:t>的也划分为一个检验批</w:t>
      </w:r>
      <w:r>
        <w:rPr>
          <w:rFonts w:hint="eastAsia"/>
        </w:rPr>
        <w:t>。</w:t>
      </w:r>
    </w:p>
    <w:p w14:paraId="7737F672">
      <w:pPr>
        <w:pStyle w:val="4"/>
        <w:rPr>
          <w:szCs w:val="21"/>
        </w:rPr>
      </w:pPr>
      <w:r>
        <w:rPr>
          <w:rFonts w:hint="eastAsia"/>
          <w:b/>
        </w:rPr>
        <w:t>C.7</w:t>
      </w:r>
      <w:r>
        <w:rPr>
          <w:b/>
        </w:rPr>
        <w:t>.</w:t>
      </w:r>
      <w:r>
        <w:rPr>
          <w:rFonts w:hint="eastAsia"/>
          <w:b/>
        </w:rPr>
        <w:t>3</w:t>
      </w:r>
      <w:r>
        <w:t xml:space="preserve">  </w:t>
      </w:r>
      <w:r>
        <w:rPr>
          <w:rFonts w:hAnsi="宋体"/>
        </w:rPr>
        <w:t>高延性混凝土加固砌体结构农村房屋的施工、材料</w:t>
      </w:r>
      <w:r>
        <w:rPr>
          <w:rFonts w:hint="eastAsia" w:hAnsi="宋体"/>
        </w:rPr>
        <w:t>性能检验</w:t>
      </w:r>
      <w:r>
        <w:rPr>
          <w:rFonts w:hAnsi="宋体"/>
        </w:rPr>
        <w:t>、</w:t>
      </w:r>
      <w:r>
        <w:rPr>
          <w:rFonts w:hint="eastAsia" w:hAnsi="宋体"/>
        </w:rPr>
        <w:t>施工质量检验等，</w:t>
      </w:r>
      <w:r>
        <w:rPr>
          <w:rFonts w:hAnsi="宋体"/>
        </w:rPr>
        <w:t>除</w:t>
      </w:r>
      <w:r>
        <w:rPr>
          <w:rFonts w:hint="eastAsia" w:hAnsi="宋体"/>
        </w:rPr>
        <w:t>符合</w:t>
      </w:r>
      <w:r>
        <w:rPr>
          <w:rFonts w:hAnsi="宋体"/>
        </w:rPr>
        <w:t>本节规定外，</w:t>
      </w:r>
      <w:r>
        <w:rPr>
          <w:rFonts w:hint="eastAsia" w:hAnsi="宋体"/>
        </w:rPr>
        <w:t>尚应</w:t>
      </w:r>
      <w:r>
        <w:rPr>
          <w:rFonts w:hAnsi="宋体"/>
        </w:rPr>
        <w:t>参照</w:t>
      </w:r>
      <w:r>
        <w:rPr>
          <w:rFonts w:hint="eastAsia" w:hAnsi="宋体"/>
        </w:rPr>
        <w:t>本标准</w:t>
      </w:r>
      <w:r>
        <w:rPr>
          <w:rFonts w:hAnsi="宋体"/>
        </w:rPr>
        <w:t>第</w:t>
      </w:r>
      <w:r>
        <w:rPr>
          <w:rFonts w:hint="eastAsia" w:hAnsi="宋体"/>
        </w:rPr>
        <w:t>6</w:t>
      </w:r>
      <w:r>
        <w:rPr>
          <w:rFonts w:hAnsi="宋体"/>
        </w:rPr>
        <w:t>章</w:t>
      </w:r>
      <w:r>
        <w:rPr>
          <w:rFonts w:hint="eastAsia" w:hAnsi="宋体"/>
        </w:rPr>
        <w:t>和</w:t>
      </w:r>
      <w:r>
        <w:rPr>
          <w:rFonts w:hAnsi="宋体"/>
        </w:rPr>
        <w:t>第</w:t>
      </w:r>
      <w:r>
        <w:t>7</w:t>
      </w:r>
      <w:r>
        <w:rPr>
          <w:rFonts w:hAnsi="宋体"/>
        </w:rPr>
        <w:t>章</w:t>
      </w:r>
      <w:r>
        <w:rPr>
          <w:rFonts w:hint="eastAsia" w:hAnsi="宋体"/>
        </w:rPr>
        <w:t>的</w:t>
      </w:r>
      <w:r>
        <w:rPr>
          <w:rFonts w:hAnsi="宋体"/>
        </w:rPr>
        <w:t>有关规定执行</w:t>
      </w:r>
      <w:bookmarkEnd w:id="1203"/>
      <w:bookmarkEnd w:id="1204"/>
      <w:bookmarkEnd w:id="1205"/>
      <w:bookmarkEnd w:id="1206"/>
      <w:bookmarkEnd w:id="1207"/>
      <w:bookmarkEnd w:id="1208"/>
      <w:bookmarkEnd w:id="1209"/>
      <w:bookmarkEnd w:id="1210"/>
      <w:bookmarkEnd w:id="1211"/>
      <w:r>
        <w:rPr>
          <w:rFonts w:hint="eastAsia" w:hAnsi="宋体"/>
        </w:rPr>
        <w:t>。</w:t>
      </w:r>
    </w:p>
    <w:p w14:paraId="61A8CC2E">
      <w:pPr>
        <w:pStyle w:val="2"/>
        <w:spacing w:after="312"/>
        <w:rPr>
          <w:rFonts w:hAnsi="Calibri"/>
          <w:snapToGrid w:val="0"/>
        </w:rPr>
      </w:pPr>
      <w:r>
        <w:rPr>
          <w:rFonts w:hAnsi="Calibri"/>
          <w:snapToGrid w:val="0"/>
        </w:rPr>
        <w:br w:type="page"/>
      </w:r>
    </w:p>
    <w:bookmarkEnd w:id="868"/>
    <w:bookmarkEnd w:id="869"/>
    <w:bookmarkEnd w:id="870"/>
    <w:bookmarkEnd w:id="871"/>
    <w:bookmarkEnd w:id="872"/>
    <w:bookmarkEnd w:id="873"/>
    <w:bookmarkEnd w:id="874"/>
    <w:bookmarkEnd w:id="875"/>
    <w:bookmarkEnd w:id="897"/>
    <w:bookmarkEnd w:id="898"/>
    <w:bookmarkEnd w:id="899"/>
    <w:p w14:paraId="4D50728B">
      <w:pPr>
        <w:spacing w:after="156" w:line="450" w:lineRule="exact"/>
        <w:ind w:firstLine="422"/>
        <w:jc w:val="center"/>
        <w:rPr>
          <w:snapToGrid w:val="0"/>
        </w:rPr>
      </w:pPr>
      <w:r>
        <w:rPr>
          <w:b/>
          <w:szCs w:val="21"/>
        </w:rPr>
        <w:br w:type="page"/>
      </w:r>
      <w:bookmarkEnd w:id="876"/>
      <w:bookmarkEnd w:id="877"/>
      <w:bookmarkEnd w:id="878"/>
      <w:bookmarkStart w:id="1212" w:name="_Toc207111749"/>
      <w:bookmarkStart w:id="1213" w:name="_Toc13379"/>
      <w:bookmarkStart w:id="1214" w:name="_Toc8420"/>
      <w:bookmarkStart w:id="1215" w:name="_Toc21200"/>
      <w:bookmarkStart w:id="1216" w:name="_Toc451067066"/>
      <w:r>
        <w:rPr>
          <w:rFonts w:hint="eastAsia"/>
          <w:snapToGrid w:val="0"/>
        </w:rPr>
        <w:t>本规程用词说明</w:t>
      </w:r>
      <w:bookmarkEnd w:id="1212"/>
      <w:bookmarkEnd w:id="1213"/>
      <w:bookmarkEnd w:id="1214"/>
      <w:bookmarkEnd w:id="1215"/>
      <w:bookmarkEnd w:id="1216"/>
    </w:p>
    <w:p w14:paraId="7509A65E">
      <w:pPr>
        <w:ind w:firstLine="422"/>
        <w:rPr>
          <w:snapToGrid w:val="0"/>
        </w:rPr>
      </w:pPr>
      <w:r>
        <w:rPr>
          <w:b/>
          <w:bCs/>
          <w:snapToGrid w:val="0"/>
        </w:rPr>
        <w:t>1</w:t>
      </w:r>
      <w:r>
        <w:rPr>
          <w:rFonts w:hint="eastAsia"/>
          <w:snapToGrid w:val="0"/>
        </w:rPr>
        <w:t>为便于在执行本规程条文时区别对待，对要求严格程度不同的用词说明如下：</w:t>
      </w:r>
    </w:p>
    <w:p w14:paraId="0E405B96">
      <w:pPr>
        <w:ind w:firstLine="422"/>
        <w:rPr>
          <w:snapToGrid w:val="0"/>
        </w:rPr>
      </w:pPr>
      <w:r>
        <w:rPr>
          <w:b/>
          <w:bCs/>
          <w:snapToGrid w:val="0"/>
        </w:rPr>
        <w:t>1）</w:t>
      </w:r>
      <w:r>
        <w:rPr>
          <w:rFonts w:hint="eastAsia"/>
          <w:snapToGrid w:val="0"/>
        </w:rPr>
        <w:t>表示很严格，非这样做不可的：</w:t>
      </w:r>
    </w:p>
    <w:p w14:paraId="560651A6">
      <w:pPr>
        <w:ind w:firstLine="420"/>
        <w:rPr>
          <w:snapToGrid w:val="0"/>
        </w:rPr>
      </w:pPr>
      <w:r>
        <w:rPr>
          <w:rFonts w:hint="eastAsia"/>
          <w:snapToGrid w:val="0"/>
        </w:rPr>
        <w:t xml:space="preserve">  正面词采用“必须”，反面词采用“严禁”；</w:t>
      </w:r>
    </w:p>
    <w:p w14:paraId="4B772412">
      <w:pPr>
        <w:ind w:firstLine="422"/>
        <w:rPr>
          <w:snapToGrid w:val="0"/>
        </w:rPr>
      </w:pPr>
      <w:r>
        <w:rPr>
          <w:b/>
          <w:bCs/>
          <w:snapToGrid w:val="0"/>
        </w:rPr>
        <w:t>2）</w:t>
      </w:r>
      <w:r>
        <w:rPr>
          <w:rFonts w:hint="eastAsia"/>
          <w:snapToGrid w:val="0"/>
        </w:rPr>
        <w:t>表示严格，在正常情况下均应这样做的：</w:t>
      </w:r>
    </w:p>
    <w:p w14:paraId="34AFAD6B">
      <w:pPr>
        <w:ind w:firstLine="420"/>
        <w:rPr>
          <w:snapToGrid w:val="0"/>
        </w:rPr>
      </w:pPr>
      <w:r>
        <w:rPr>
          <w:rFonts w:hint="eastAsia"/>
          <w:snapToGrid w:val="0"/>
        </w:rPr>
        <w:t xml:space="preserve">  正面词采用“应”，反面词采用“不应”或“不得”；</w:t>
      </w:r>
    </w:p>
    <w:p w14:paraId="529CA468">
      <w:pPr>
        <w:ind w:firstLine="422"/>
        <w:rPr>
          <w:snapToGrid w:val="0"/>
        </w:rPr>
      </w:pPr>
      <w:r>
        <w:rPr>
          <w:b/>
          <w:bCs/>
          <w:snapToGrid w:val="0"/>
        </w:rPr>
        <w:t>3）</w:t>
      </w:r>
      <w:r>
        <w:rPr>
          <w:rFonts w:hint="eastAsia"/>
          <w:snapToGrid w:val="0"/>
        </w:rPr>
        <w:t>表示允许稍有选择，在条件许可时首先应这样做的：</w:t>
      </w:r>
    </w:p>
    <w:p w14:paraId="5E5C0F02">
      <w:pPr>
        <w:ind w:firstLine="420"/>
        <w:rPr>
          <w:snapToGrid w:val="0"/>
        </w:rPr>
      </w:pPr>
      <w:r>
        <w:rPr>
          <w:rFonts w:hint="eastAsia"/>
          <w:snapToGrid w:val="0"/>
        </w:rPr>
        <w:t xml:space="preserve">  正面词采用“宜”，反面词采用“不宜”；</w:t>
      </w:r>
    </w:p>
    <w:p w14:paraId="0CB8A8C8">
      <w:pPr>
        <w:ind w:firstLine="422"/>
        <w:rPr>
          <w:snapToGrid w:val="0"/>
        </w:rPr>
      </w:pPr>
      <w:r>
        <w:rPr>
          <w:rFonts w:hint="eastAsia"/>
          <w:b/>
          <w:snapToGrid w:val="0"/>
        </w:rPr>
        <w:t xml:space="preserve">  4</w:t>
      </w:r>
      <w:r>
        <w:rPr>
          <w:b/>
          <w:bCs/>
          <w:snapToGrid w:val="0"/>
        </w:rPr>
        <w:t>）</w:t>
      </w:r>
      <w:r>
        <w:rPr>
          <w:rFonts w:hint="eastAsia"/>
          <w:snapToGrid w:val="0"/>
        </w:rPr>
        <w:t>表示有选择，在一定条件下可以这样做的，采用“可”。</w:t>
      </w:r>
    </w:p>
    <w:p w14:paraId="232FA719">
      <w:pPr>
        <w:ind w:firstLine="422"/>
        <w:rPr>
          <w:snapToGrid w:val="0"/>
        </w:rPr>
      </w:pPr>
      <w:r>
        <w:rPr>
          <w:b/>
          <w:bCs/>
          <w:snapToGrid w:val="0"/>
        </w:rPr>
        <w:t>2</w:t>
      </w:r>
      <w:r>
        <w:rPr>
          <w:rFonts w:hint="eastAsia"/>
          <w:snapToGrid w:val="0"/>
        </w:rPr>
        <w:t>条文中指明应按其他有关标准执行的写法为：“应符合</w:t>
      </w:r>
      <w:r>
        <w:rPr>
          <w:snapToGrid w:val="0"/>
        </w:rPr>
        <w:t>……</w:t>
      </w:r>
      <w:r>
        <w:rPr>
          <w:rFonts w:hint="eastAsia"/>
          <w:snapToGrid w:val="0"/>
        </w:rPr>
        <w:t>的规定”或“应按</w:t>
      </w:r>
      <w:r>
        <w:rPr>
          <w:snapToGrid w:val="0"/>
        </w:rPr>
        <w:t>……</w:t>
      </w:r>
      <w:r>
        <w:rPr>
          <w:rFonts w:hint="eastAsia"/>
          <w:snapToGrid w:val="0"/>
        </w:rPr>
        <w:t>执行”。</w:t>
      </w:r>
    </w:p>
    <w:p w14:paraId="762A2486">
      <w:pPr>
        <w:spacing w:after="156" w:line="450" w:lineRule="exact"/>
        <w:ind w:firstLine="560"/>
        <w:jc w:val="center"/>
        <w:rPr>
          <w:rFonts w:eastAsia="宋体" w:cs="Times New Roman"/>
          <w:snapToGrid w:val="0"/>
          <w:kern w:val="0"/>
          <w:sz w:val="28"/>
        </w:rPr>
      </w:pPr>
      <w:r>
        <w:rPr>
          <w:rFonts w:eastAsia="宋体" w:cs="Times New Roman"/>
          <w:snapToGrid w:val="0"/>
          <w:kern w:val="0"/>
          <w:sz w:val="28"/>
        </w:rPr>
        <w:br w:type="page"/>
      </w:r>
    </w:p>
    <w:p w14:paraId="4FB08A1F">
      <w:pPr>
        <w:pStyle w:val="2"/>
        <w:spacing w:after="312"/>
        <w:rPr>
          <w:snapToGrid w:val="0"/>
        </w:rPr>
      </w:pPr>
      <w:bookmarkStart w:id="1217" w:name="_Toc207111750"/>
      <w:bookmarkStart w:id="1218" w:name="_Toc31806"/>
      <w:bookmarkStart w:id="1219" w:name="_Toc3872"/>
      <w:bookmarkStart w:id="1220" w:name="_Toc21909"/>
      <w:r>
        <w:rPr>
          <w:rFonts w:hint="eastAsia"/>
          <w:snapToGrid w:val="0"/>
        </w:rPr>
        <w:t>引用标准名录</w:t>
      </w:r>
      <w:bookmarkEnd w:id="1217"/>
      <w:bookmarkEnd w:id="1218"/>
      <w:bookmarkEnd w:id="1219"/>
      <w:bookmarkEnd w:id="1220"/>
    </w:p>
    <w:p w14:paraId="7A69C0F1">
      <w:pPr>
        <w:ind w:firstLine="420"/>
        <w:rPr>
          <w:snapToGrid w:val="0"/>
        </w:rPr>
      </w:pPr>
      <w:r>
        <w:rPr>
          <w:rFonts w:hint="eastAsia"/>
          <w:snapToGrid w:val="0"/>
        </w:rPr>
        <w:t>《既有建筑鉴定与加固通用规范》GB 55021</w:t>
      </w:r>
    </w:p>
    <w:p w14:paraId="461BCFE4">
      <w:pPr>
        <w:ind w:firstLine="420"/>
        <w:rPr>
          <w:snapToGrid w:val="0"/>
        </w:rPr>
      </w:pPr>
      <w:r>
        <w:rPr>
          <w:rFonts w:hint="eastAsia"/>
          <w:snapToGrid w:val="0"/>
        </w:rPr>
        <w:t>《施工脚手架通用规范》GB 55023-2022</w:t>
      </w:r>
    </w:p>
    <w:p w14:paraId="34033EDC">
      <w:pPr>
        <w:ind w:firstLine="420"/>
        <w:rPr>
          <w:snapToGrid w:val="0"/>
        </w:rPr>
      </w:pPr>
      <w:r>
        <w:rPr>
          <w:rFonts w:hint="eastAsia"/>
          <w:snapToGrid w:val="0"/>
        </w:rPr>
        <w:t>《砌体结构设计规范》GB 50003</w:t>
      </w:r>
    </w:p>
    <w:p w14:paraId="7B8F6060">
      <w:pPr>
        <w:ind w:firstLine="420"/>
        <w:rPr>
          <w:snapToGrid w:val="0"/>
        </w:rPr>
      </w:pPr>
      <w:r>
        <w:rPr>
          <w:rFonts w:hint="eastAsia"/>
          <w:snapToGrid w:val="0"/>
        </w:rPr>
        <w:t>《混凝土结构设计规范》GB 50010</w:t>
      </w:r>
    </w:p>
    <w:p w14:paraId="467136A4">
      <w:pPr>
        <w:ind w:firstLine="420"/>
        <w:rPr>
          <w:snapToGrid w:val="0"/>
        </w:rPr>
      </w:pPr>
      <w:r>
        <w:rPr>
          <w:rFonts w:hint="eastAsia"/>
          <w:snapToGrid w:val="0"/>
        </w:rPr>
        <w:t>《建筑抗震设计规范》GB 50011</w:t>
      </w:r>
    </w:p>
    <w:p w14:paraId="0049FD7C">
      <w:pPr>
        <w:ind w:firstLine="420"/>
        <w:rPr>
          <w:snapToGrid w:val="0"/>
        </w:rPr>
      </w:pPr>
      <w:r>
        <w:rPr>
          <w:rFonts w:hint="eastAsia"/>
          <w:snapToGrid w:val="0"/>
        </w:rPr>
        <w:t>《建筑抗震鉴定标准》GB 50023</w:t>
      </w:r>
    </w:p>
    <w:p w14:paraId="318E3199">
      <w:pPr>
        <w:ind w:firstLine="420"/>
        <w:rPr>
          <w:snapToGrid w:val="0"/>
        </w:rPr>
      </w:pPr>
      <w:r>
        <w:rPr>
          <w:rFonts w:hint="eastAsia"/>
          <w:snapToGrid w:val="0"/>
        </w:rPr>
        <w:t>《混凝土结构工程施工质量验收规范》GB 50204</w:t>
      </w:r>
    </w:p>
    <w:p w14:paraId="37119339">
      <w:pPr>
        <w:ind w:firstLine="420"/>
        <w:rPr>
          <w:snapToGrid w:val="0"/>
        </w:rPr>
      </w:pPr>
      <w:r>
        <w:rPr>
          <w:rFonts w:hint="eastAsia"/>
          <w:snapToGrid w:val="0"/>
        </w:rPr>
        <w:t>《混凝土结构加固设计规范》GB 50367</w:t>
      </w:r>
    </w:p>
    <w:p w14:paraId="3849D55D">
      <w:pPr>
        <w:ind w:firstLine="420"/>
        <w:rPr>
          <w:snapToGrid w:val="0"/>
        </w:rPr>
      </w:pPr>
      <w:r>
        <w:rPr>
          <w:rFonts w:hint="eastAsia"/>
          <w:snapToGrid w:val="0"/>
        </w:rPr>
        <w:t>《建筑结构加固工程施工质量验收规范》GB 50550</w:t>
      </w:r>
    </w:p>
    <w:p w14:paraId="038B1A98">
      <w:pPr>
        <w:ind w:firstLine="420"/>
        <w:rPr>
          <w:snapToGrid w:val="0"/>
        </w:rPr>
      </w:pPr>
      <w:r>
        <w:rPr>
          <w:rFonts w:hint="eastAsia"/>
          <w:snapToGrid w:val="0"/>
        </w:rPr>
        <w:t>《砌体结构加固设计规范》GB 50702</w:t>
      </w:r>
    </w:p>
    <w:p w14:paraId="0A87E97A">
      <w:pPr>
        <w:ind w:firstLine="420"/>
        <w:rPr>
          <w:snapToGrid w:val="0"/>
        </w:rPr>
      </w:pPr>
      <w:r>
        <w:rPr>
          <w:rFonts w:hint="eastAsia"/>
          <w:snapToGrid w:val="0"/>
        </w:rPr>
        <w:t>《工程结构加固材料安全性鉴定技术规范》GB 50728</w:t>
      </w:r>
    </w:p>
    <w:p w14:paraId="1B149FE6">
      <w:pPr>
        <w:ind w:firstLine="420"/>
        <w:rPr>
          <w:snapToGrid w:val="0"/>
        </w:rPr>
      </w:pPr>
      <w:r>
        <w:rPr>
          <w:rFonts w:hint="eastAsia"/>
          <w:snapToGrid w:val="0"/>
        </w:rPr>
        <w:t>《混凝土物理力学性能试验方法标准》GB/T 50081</w:t>
      </w:r>
    </w:p>
    <w:p w14:paraId="01470556">
      <w:pPr>
        <w:ind w:firstLine="420"/>
        <w:rPr>
          <w:snapToGrid w:val="0"/>
        </w:rPr>
      </w:pPr>
      <w:r>
        <w:rPr>
          <w:rFonts w:hint="eastAsia"/>
          <w:snapToGrid w:val="0"/>
        </w:rPr>
        <w:t>《混凝土外加剂应用技术规范》GB 50119</w:t>
      </w:r>
    </w:p>
    <w:p w14:paraId="1CA4725C">
      <w:pPr>
        <w:ind w:firstLine="420"/>
        <w:rPr>
          <w:snapToGrid w:val="0"/>
        </w:rPr>
      </w:pPr>
      <w:r>
        <w:rPr>
          <w:rFonts w:hint="eastAsia"/>
          <w:snapToGrid w:val="0"/>
        </w:rPr>
        <w:t>《通用硅酸盐水泥》GB 175</w:t>
      </w:r>
    </w:p>
    <w:p w14:paraId="6BC3FD26">
      <w:pPr>
        <w:ind w:firstLine="420"/>
        <w:rPr>
          <w:snapToGrid w:val="0"/>
        </w:rPr>
      </w:pPr>
      <w:r>
        <w:rPr>
          <w:rFonts w:hint="eastAsia"/>
          <w:snapToGrid w:val="0"/>
        </w:rPr>
        <w:t>《混凝土外加剂》GB 8076</w:t>
      </w:r>
    </w:p>
    <w:p w14:paraId="58D39C51">
      <w:pPr>
        <w:ind w:firstLine="420"/>
        <w:rPr>
          <w:snapToGrid w:val="0"/>
        </w:rPr>
      </w:pPr>
      <w:r>
        <w:rPr>
          <w:rFonts w:hint="eastAsia" w:hAnsi="Calibri"/>
          <w:bCs/>
          <w:snapToGrid w:val="0"/>
        </w:rPr>
        <w:t>《混凝土结构耐久性设计标准》GB/T 50476</w:t>
      </w:r>
    </w:p>
    <w:p w14:paraId="4920BB3F">
      <w:pPr>
        <w:ind w:firstLine="420"/>
        <w:rPr>
          <w:snapToGrid w:val="0"/>
        </w:rPr>
      </w:pPr>
      <w:r>
        <w:rPr>
          <w:rFonts w:hint="eastAsia"/>
          <w:snapToGrid w:val="0"/>
        </w:rPr>
        <w:t>《普通混凝土长期性能和耐久性能试验方法标准》GB/T 50082</w:t>
      </w:r>
    </w:p>
    <w:p w14:paraId="07BC4857">
      <w:pPr>
        <w:ind w:firstLine="420"/>
        <w:rPr>
          <w:snapToGrid w:val="0"/>
        </w:rPr>
      </w:pPr>
      <w:r>
        <w:rPr>
          <w:rFonts w:hint="eastAsia"/>
          <w:snapToGrid w:val="0"/>
        </w:rPr>
        <w:t>《水泥混凝土和砂浆用合成纤维》GB/T 21120</w:t>
      </w:r>
    </w:p>
    <w:p w14:paraId="5D2FED06">
      <w:pPr>
        <w:ind w:firstLine="420"/>
        <w:rPr>
          <w:snapToGrid w:val="0"/>
        </w:rPr>
      </w:pPr>
      <w:r>
        <w:rPr>
          <w:rFonts w:hint="eastAsia"/>
          <w:snapToGrid w:val="0"/>
        </w:rPr>
        <w:t>《水泥胶砂强度检验方法（ISO法）》GB/T 17671</w:t>
      </w:r>
    </w:p>
    <w:p w14:paraId="12A4DA98">
      <w:pPr>
        <w:ind w:firstLine="420"/>
        <w:rPr>
          <w:snapToGrid w:val="0"/>
        </w:rPr>
      </w:pPr>
      <w:r>
        <w:rPr>
          <w:rFonts w:hint="eastAsia"/>
          <w:snapToGrid w:val="0"/>
        </w:rPr>
        <w:t>《建设用砂》GB/T 14684</w:t>
      </w:r>
    </w:p>
    <w:p w14:paraId="5962C3C5">
      <w:pPr>
        <w:ind w:firstLine="420"/>
        <w:rPr>
          <w:snapToGrid w:val="0"/>
        </w:rPr>
      </w:pPr>
      <w:r>
        <w:rPr>
          <w:rFonts w:hint="eastAsia"/>
          <w:snapToGrid w:val="0"/>
        </w:rPr>
        <w:t>《用于水泥和混凝土中的粉煤灰》GB/T 1596</w:t>
      </w:r>
    </w:p>
    <w:p w14:paraId="3CFD5281">
      <w:pPr>
        <w:ind w:firstLine="420"/>
        <w:rPr>
          <w:snapToGrid w:val="0"/>
        </w:rPr>
      </w:pPr>
      <w:r>
        <w:rPr>
          <w:rFonts w:hint="eastAsia"/>
          <w:snapToGrid w:val="0"/>
        </w:rPr>
        <w:t>《用于水泥、砂浆和混凝土中的粒化高炉矿渣粉》GB/T 18046</w:t>
      </w:r>
    </w:p>
    <w:p w14:paraId="5D52F4F4">
      <w:pPr>
        <w:ind w:firstLine="420"/>
        <w:rPr>
          <w:snapToGrid w:val="0"/>
        </w:rPr>
      </w:pPr>
      <w:r>
        <w:rPr>
          <w:rFonts w:hint="eastAsia"/>
          <w:snapToGrid w:val="0"/>
        </w:rPr>
        <w:t>《混凝土用水标准》JGJ 63</w:t>
      </w:r>
    </w:p>
    <w:p w14:paraId="528C2987">
      <w:pPr>
        <w:ind w:firstLine="420"/>
        <w:rPr>
          <w:snapToGrid w:val="0"/>
        </w:rPr>
      </w:pPr>
      <w:r>
        <w:rPr>
          <w:rFonts w:hint="eastAsia"/>
          <w:snapToGrid w:val="0"/>
        </w:rPr>
        <w:t>《建筑砂浆基本性能试验方法标准》JGJ/T 70</w:t>
      </w:r>
    </w:p>
    <w:p w14:paraId="662207AB">
      <w:pPr>
        <w:ind w:firstLine="420"/>
        <w:rPr>
          <w:snapToGrid w:val="0"/>
        </w:rPr>
      </w:pPr>
      <w:r>
        <w:rPr>
          <w:rFonts w:hint="eastAsia"/>
          <w:snapToGrid w:val="0"/>
        </w:rPr>
        <w:t>《建筑抗震加固技术规程》JGJ 116</w:t>
      </w:r>
    </w:p>
    <w:p w14:paraId="428D0CFA">
      <w:pPr>
        <w:ind w:firstLine="420"/>
        <w:rPr>
          <w:snapToGrid w:val="0"/>
        </w:rPr>
      </w:pPr>
      <w:r>
        <w:rPr>
          <w:rFonts w:hint="eastAsia"/>
          <w:snapToGrid w:val="0"/>
        </w:rPr>
        <w:t>《钢筋焊接及验收规程》JGJ 18</w:t>
      </w:r>
    </w:p>
    <w:p w14:paraId="3837B534">
      <w:pPr>
        <w:ind w:firstLine="420"/>
        <w:rPr>
          <w:snapToGrid w:val="0"/>
        </w:rPr>
      </w:pPr>
      <w:r>
        <w:rPr>
          <w:rFonts w:hint="eastAsia"/>
          <w:snapToGrid w:val="0"/>
        </w:rPr>
        <w:t>《钢筋机械连接技术规程》JGJ 107</w:t>
      </w:r>
    </w:p>
    <w:p w14:paraId="4C2F5253">
      <w:pPr>
        <w:ind w:firstLine="420"/>
        <w:rPr>
          <w:snapToGrid w:val="0"/>
        </w:rPr>
      </w:pPr>
      <w:r>
        <w:rPr>
          <w:rFonts w:hint="eastAsia"/>
          <w:snapToGrid w:val="0"/>
        </w:rPr>
        <w:t>《建筑工程冬期施工规程》JGJ/T 104</w:t>
      </w:r>
    </w:p>
    <w:p w14:paraId="4E760A1A">
      <w:pPr>
        <w:spacing w:after="312" w:line="450" w:lineRule="exact"/>
        <w:ind w:firstLine="960"/>
        <w:jc w:val="center"/>
        <w:rPr>
          <w:rFonts w:eastAsia="文鼎大标宋简" w:cs="Times New Roman"/>
          <w:snapToGrid w:val="0"/>
          <w:kern w:val="0"/>
          <w:sz w:val="48"/>
        </w:rPr>
      </w:pPr>
    </w:p>
    <w:p w14:paraId="216E5A05">
      <w:pPr>
        <w:widowControl/>
        <w:spacing w:after="156"/>
        <w:ind w:firstLine="720"/>
        <w:jc w:val="left"/>
        <w:rPr>
          <w:rFonts w:eastAsia="黑体" w:cs="Times New Roman"/>
          <w:snapToGrid w:val="0"/>
          <w:kern w:val="0"/>
          <w:sz w:val="36"/>
        </w:rPr>
      </w:pPr>
      <w:r>
        <w:rPr>
          <w:rFonts w:eastAsia="黑体" w:cs="Times New Roman"/>
          <w:snapToGrid w:val="0"/>
          <w:kern w:val="0"/>
          <w:sz w:val="36"/>
        </w:rPr>
        <w:br w:type="page"/>
      </w:r>
    </w:p>
    <w:p w14:paraId="77447F80">
      <w:pPr>
        <w:spacing w:after="312" w:line="420" w:lineRule="exact"/>
        <w:ind w:firstLine="720"/>
        <w:jc w:val="center"/>
        <w:rPr>
          <w:rFonts w:eastAsia="黑体"/>
          <w:snapToGrid w:val="0"/>
          <w:kern w:val="0"/>
          <w:sz w:val="36"/>
        </w:rPr>
      </w:pPr>
    </w:p>
    <w:p w14:paraId="19DC47AA">
      <w:pPr>
        <w:spacing w:after="312" w:line="420" w:lineRule="exact"/>
        <w:ind w:firstLine="720"/>
        <w:jc w:val="center"/>
        <w:rPr>
          <w:rFonts w:eastAsia="黑体"/>
          <w:snapToGrid w:val="0"/>
          <w:kern w:val="0"/>
          <w:sz w:val="36"/>
        </w:rPr>
      </w:pPr>
      <w:r>
        <w:rPr>
          <w:rFonts w:hint="eastAsia" w:eastAsia="黑体"/>
          <w:snapToGrid w:val="0"/>
          <w:kern w:val="0"/>
          <w:sz w:val="36"/>
        </w:rPr>
        <w:t>西藏自治区工程建设标准</w:t>
      </w:r>
    </w:p>
    <w:p w14:paraId="32B60978">
      <w:pPr>
        <w:spacing w:after="312" w:line="420" w:lineRule="exact"/>
        <w:ind w:firstLine="720"/>
        <w:jc w:val="center"/>
        <w:rPr>
          <w:rFonts w:eastAsia="黑体"/>
          <w:snapToGrid w:val="0"/>
          <w:kern w:val="0"/>
          <w:sz w:val="36"/>
        </w:rPr>
      </w:pPr>
    </w:p>
    <w:p w14:paraId="72FFE2D5">
      <w:pPr>
        <w:pStyle w:val="10"/>
        <w:spacing w:after="312"/>
        <w:ind w:firstLine="881"/>
        <w:jc w:val="center"/>
        <w:rPr>
          <w:rFonts w:eastAsia="华文中宋"/>
          <w:b/>
          <w:snapToGrid w:val="0"/>
          <w:kern w:val="0"/>
          <w:sz w:val="44"/>
          <w:szCs w:val="32"/>
        </w:rPr>
      </w:pPr>
      <w:r>
        <w:rPr>
          <w:rFonts w:hint="eastAsia" w:eastAsia="华文中宋"/>
          <w:b/>
          <w:snapToGrid w:val="0"/>
          <w:kern w:val="0"/>
          <w:sz w:val="44"/>
          <w:szCs w:val="32"/>
        </w:rPr>
        <w:t>高延性混凝土加固技术规程</w:t>
      </w:r>
    </w:p>
    <w:p w14:paraId="5DAE0368">
      <w:pPr>
        <w:pStyle w:val="10"/>
        <w:spacing w:after="312"/>
        <w:ind w:firstLine="881"/>
        <w:jc w:val="center"/>
        <w:rPr>
          <w:rFonts w:eastAsia="华文中宋"/>
          <w:b/>
          <w:snapToGrid w:val="0"/>
          <w:kern w:val="0"/>
          <w:sz w:val="44"/>
          <w:szCs w:val="32"/>
        </w:rPr>
      </w:pPr>
    </w:p>
    <w:p w14:paraId="77C59AB3">
      <w:pPr>
        <w:pStyle w:val="10"/>
        <w:spacing w:after="312"/>
        <w:ind w:firstLine="881"/>
        <w:jc w:val="center"/>
        <w:rPr>
          <w:rFonts w:eastAsia="华文中宋"/>
          <w:b/>
          <w:snapToGrid w:val="0"/>
          <w:kern w:val="0"/>
          <w:sz w:val="44"/>
          <w:szCs w:val="32"/>
        </w:rPr>
      </w:pPr>
    </w:p>
    <w:p w14:paraId="5B2BCADD">
      <w:pPr>
        <w:spacing w:after="312"/>
        <w:ind w:firstLine="881"/>
        <w:jc w:val="center"/>
        <w:rPr>
          <w:rFonts w:hint="eastAsia" w:eastAsia="华文中宋"/>
          <w:b/>
          <w:snapToGrid w:val="0"/>
          <w:kern w:val="0"/>
          <w:sz w:val="44"/>
          <w:szCs w:val="32"/>
        </w:rPr>
      </w:pPr>
      <w:r>
        <w:rPr>
          <w:rFonts w:hint="eastAsia" w:eastAsia="华文中宋"/>
          <w:b/>
          <w:snapToGrid w:val="0"/>
          <w:kern w:val="0"/>
          <w:sz w:val="44"/>
          <w:szCs w:val="32"/>
        </w:rPr>
        <w:t xml:space="preserve">  </w:t>
      </w:r>
    </w:p>
    <w:p w14:paraId="3A125A0D">
      <w:pPr>
        <w:spacing w:before="312" w:beforeLines="100" w:after="156" w:afterLines="50" w:line="420" w:lineRule="exact"/>
        <w:ind w:firstLine="562"/>
        <w:jc w:val="center"/>
        <w:rPr>
          <w:b/>
          <w:bCs/>
          <w:snapToGrid w:val="0"/>
          <w:kern w:val="0"/>
          <w:sz w:val="28"/>
          <w:szCs w:val="21"/>
        </w:rPr>
      </w:pPr>
      <w:r>
        <w:rPr>
          <w:rFonts w:hint="eastAsia"/>
          <w:b/>
          <w:bCs/>
          <w:snapToGrid w:val="0"/>
          <w:kern w:val="0"/>
          <w:sz w:val="28"/>
          <w:szCs w:val="21"/>
        </w:rPr>
        <w:t>DB xx/T xxxx－20xx</w:t>
      </w:r>
    </w:p>
    <w:p w14:paraId="6D156F6C">
      <w:pPr>
        <w:spacing w:after="312" w:line="450" w:lineRule="exact"/>
        <w:ind w:firstLine="800"/>
        <w:jc w:val="center"/>
        <w:rPr>
          <w:rFonts w:eastAsia="黑体" w:cs="Times New Roman"/>
          <w:snapToGrid w:val="0"/>
          <w:kern w:val="0"/>
          <w:sz w:val="40"/>
        </w:rPr>
      </w:pPr>
    </w:p>
    <w:p w14:paraId="6A60861B">
      <w:pPr>
        <w:spacing w:after="312" w:line="450" w:lineRule="exact"/>
        <w:ind w:firstLine="800"/>
        <w:jc w:val="center"/>
        <w:outlineLvl w:val="0"/>
        <w:rPr>
          <w:rFonts w:eastAsia="宋体" w:cs="Times New Roman"/>
          <w:snapToGrid w:val="0"/>
          <w:kern w:val="0"/>
          <w:sz w:val="40"/>
        </w:rPr>
      </w:pPr>
      <w:bookmarkStart w:id="1221" w:name="_Toc27049"/>
      <w:bookmarkStart w:id="1222" w:name="_Toc10614"/>
      <w:bookmarkStart w:id="1223" w:name="_Toc30934"/>
      <w:r>
        <w:rPr>
          <w:rFonts w:hint="eastAsia" w:eastAsia="宋体" w:cs="Times New Roman"/>
          <w:snapToGrid w:val="0"/>
          <w:kern w:val="0"/>
          <w:sz w:val="40"/>
        </w:rPr>
        <w:t>条文说明</w:t>
      </w:r>
      <w:bookmarkEnd w:id="1221"/>
      <w:bookmarkEnd w:id="1222"/>
      <w:bookmarkEnd w:id="1223"/>
    </w:p>
    <w:p w14:paraId="1405AE06">
      <w:pPr>
        <w:spacing w:after="312" w:line="450" w:lineRule="exact"/>
        <w:ind w:firstLine="800"/>
        <w:jc w:val="center"/>
        <w:rPr>
          <w:rFonts w:eastAsia="宋体" w:cs="Times New Roman"/>
          <w:snapToGrid w:val="0"/>
          <w:kern w:val="0"/>
          <w:sz w:val="40"/>
        </w:rPr>
      </w:pPr>
    </w:p>
    <w:p w14:paraId="38F1EB74">
      <w:pPr>
        <w:numPr>
          <w:ilvl w:val="3"/>
          <w:numId w:val="0"/>
        </w:numPr>
        <w:spacing w:after="156" w:line="450" w:lineRule="exact"/>
        <w:jc w:val="center"/>
        <w:rPr>
          <w:rFonts w:eastAsia="宋体" w:cs="Times New Roman"/>
          <w:snapToGrid w:val="0"/>
          <w:kern w:val="0"/>
          <w:sz w:val="40"/>
        </w:rPr>
      </w:pPr>
      <w:r>
        <w:rPr>
          <w:rFonts w:eastAsia="黑体" w:cs="Times New Roman"/>
          <w:snapToGrid w:val="0"/>
          <w:kern w:val="0"/>
          <w:sz w:val="40"/>
        </w:rPr>
        <w:br w:type="page"/>
      </w:r>
    </w:p>
    <w:p w14:paraId="2C31C51C">
      <w:pPr>
        <w:pStyle w:val="3"/>
      </w:pPr>
      <w:bookmarkStart w:id="1224" w:name="_Toc207111751"/>
      <w:r>
        <w:rPr>
          <w:rFonts w:hint="eastAsia"/>
        </w:rPr>
        <w:t>目   次</w:t>
      </w:r>
      <w:bookmarkEnd w:id="1224"/>
    </w:p>
    <w:p w14:paraId="51427508">
      <w:pPr>
        <w:pStyle w:val="20"/>
        <w:rPr>
          <w:rFonts w:asciiTheme="minorHAnsi" w:hAnsiTheme="minorHAnsi" w:eastAsiaTheme="minorEastAsia" w:cstheme="minorBidi"/>
          <w:sz w:val="22"/>
          <w14:ligatures w14:val="standardContextual"/>
        </w:rPr>
      </w:pPr>
      <w:r>
        <w:fldChar w:fldCharType="begin"/>
      </w:r>
      <w:r>
        <w:instrText xml:space="preserve"> HYPERLINK \l "_Toc207111749" </w:instrText>
      </w:r>
      <w:r>
        <w:fldChar w:fldCharType="separate"/>
      </w:r>
      <w:r>
        <w:rPr>
          <w:rStyle w:val="33"/>
          <w:snapToGrid w:val="0"/>
          <w:color w:val="auto"/>
        </w:rPr>
        <w:t>本规程用词说明</w:t>
      </w:r>
      <w:r>
        <w:tab/>
      </w:r>
      <w:r>
        <w:fldChar w:fldCharType="begin"/>
      </w:r>
      <w:r>
        <w:instrText xml:space="preserve"> PAGEREF _Toc207111749 \h </w:instrText>
      </w:r>
      <w:r>
        <w:fldChar w:fldCharType="separate"/>
      </w:r>
      <w:r>
        <w:t>60</w:t>
      </w:r>
      <w:r>
        <w:fldChar w:fldCharType="end"/>
      </w:r>
      <w:r>
        <w:fldChar w:fldCharType="end"/>
      </w:r>
    </w:p>
    <w:p w14:paraId="7D909469">
      <w:pPr>
        <w:pStyle w:val="20"/>
        <w:rPr>
          <w:rFonts w:asciiTheme="minorHAnsi" w:hAnsiTheme="minorHAnsi" w:eastAsiaTheme="minorEastAsia" w:cstheme="minorBidi"/>
          <w:sz w:val="22"/>
          <w14:ligatures w14:val="standardContextual"/>
        </w:rPr>
      </w:pPr>
      <w:r>
        <w:fldChar w:fldCharType="begin"/>
      </w:r>
      <w:r>
        <w:instrText xml:space="preserve"> HYPERLINK \l "_Toc207111750" </w:instrText>
      </w:r>
      <w:r>
        <w:fldChar w:fldCharType="separate"/>
      </w:r>
      <w:r>
        <w:rPr>
          <w:rStyle w:val="33"/>
          <w:snapToGrid w:val="0"/>
          <w:color w:val="auto"/>
        </w:rPr>
        <w:t>引用标准名录</w:t>
      </w:r>
      <w:r>
        <w:tab/>
      </w:r>
      <w:r>
        <w:fldChar w:fldCharType="begin"/>
      </w:r>
      <w:r>
        <w:instrText xml:space="preserve"> PAGEREF _Toc207111750 \h </w:instrText>
      </w:r>
      <w:r>
        <w:fldChar w:fldCharType="separate"/>
      </w:r>
      <w:r>
        <w:t>61</w:t>
      </w:r>
      <w:r>
        <w:fldChar w:fldCharType="end"/>
      </w:r>
      <w:r>
        <w:fldChar w:fldCharType="end"/>
      </w:r>
    </w:p>
    <w:p w14:paraId="2E9A7E8D">
      <w:pPr>
        <w:pStyle w:val="23"/>
        <w:rPr>
          <w:rFonts w:asciiTheme="minorHAnsi" w:hAnsiTheme="minorHAnsi"/>
          <w:sz w:val="22"/>
          <w14:ligatures w14:val="standardContextual"/>
        </w:rPr>
      </w:pPr>
      <w:r>
        <w:fldChar w:fldCharType="begin"/>
      </w:r>
      <w:r>
        <w:instrText xml:space="preserve"> HYPERLINK \l "_Toc207111751" </w:instrText>
      </w:r>
      <w:r>
        <w:fldChar w:fldCharType="separate"/>
      </w:r>
      <w:r>
        <w:rPr>
          <w:rStyle w:val="33"/>
          <w:color w:val="auto"/>
        </w:rPr>
        <w:t>目   次</w:t>
      </w:r>
      <w:r>
        <w:tab/>
      </w:r>
      <w:r>
        <w:fldChar w:fldCharType="begin"/>
      </w:r>
      <w:r>
        <w:instrText xml:space="preserve"> PAGEREF _Toc207111751 \h </w:instrText>
      </w:r>
      <w:r>
        <w:fldChar w:fldCharType="separate"/>
      </w:r>
      <w:r>
        <w:t>64</w:t>
      </w:r>
      <w:r>
        <w:fldChar w:fldCharType="end"/>
      </w:r>
      <w:r>
        <w:fldChar w:fldCharType="end"/>
      </w:r>
    </w:p>
    <w:p w14:paraId="77F5AB2E">
      <w:pPr>
        <w:pStyle w:val="20"/>
        <w:rPr>
          <w:rFonts w:asciiTheme="minorHAnsi" w:hAnsiTheme="minorHAnsi" w:eastAsiaTheme="minorEastAsia" w:cstheme="minorBidi"/>
          <w:sz w:val="22"/>
          <w14:ligatures w14:val="standardContextual"/>
        </w:rPr>
      </w:pPr>
      <w:r>
        <w:fldChar w:fldCharType="begin"/>
      </w:r>
      <w:r>
        <w:instrText xml:space="preserve"> HYPERLINK \l "_Toc207111752" </w:instrText>
      </w:r>
      <w:r>
        <w:fldChar w:fldCharType="separate"/>
      </w:r>
      <w:r>
        <w:rPr>
          <w:rStyle w:val="33"/>
          <w:snapToGrid w:val="0"/>
          <w:color w:val="auto"/>
        </w:rPr>
        <w:t>1  总  则</w:t>
      </w:r>
      <w:r>
        <w:tab/>
      </w:r>
      <w:r>
        <w:fldChar w:fldCharType="begin"/>
      </w:r>
      <w:r>
        <w:instrText xml:space="preserve"> PAGEREF _Toc207111752 \h </w:instrText>
      </w:r>
      <w:r>
        <w:fldChar w:fldCharType="separate"/>
      </w:r>
      <w:r>
        <w:t>66</w:t>
      </w:r>
      <w:r>
        <w:fldChar w:fldCharType="end"/>
      </w:r>
      <w:r>
        <w:fldChar w:fldCharType="end"/>
      </w:r>
    </w:p>
    <w:p w14:paraId="26B4FA40">
      <w:pPr>
        <w:pStyle w:val="20"/>
        <w:rPr>
          <w:rFonts w:asciiTheme="minorHAnsi" w:hAnsiTheme="minorHAnsi" w:eastAsiaTheme="minorEastAsia" w:cstheme="minorBidi"/>
          <w:sz w:val="22"/>
          <w14:ligatures w14:val="standardContextual"/>
        </w:rPr>
      </w:pPr>
      <w:r>
        <w:fldChar w:fldCharType="begin"/>
      </w:r>
      <w:r>
        <w:instrText xml:space="preserve"> HYPERLINK \l "_Toc207111753" </w:instrText>
      </w:r>
      <w:r>
        <w:fldChar w:fldCharType="separate"/>
      </w:r>
      <w:r>
        <w:rPr>
          <w:rStyle w:val="33"/>
          <w:snapToGrid w:val="0"/>
          <w:color w:val="auto"/>
        </w:rPr>
        <w:t>2  术  语</w:t>
      </w:r>
      <w:r>
        <w:tab/>
      </w:r>
      <w:r>
        <w:fldChar w:fldCharType="begin"/>
      </w:r>
      <w:r>
        <w:instrText xml:space="preserve"> PAGEREF _Toc207111753 \h </w:instrText>
      </w:r>
      <w:r>
        <w:fldChar w:fldCharType="separate"/>
      </w:r>
      <w:r>
        <w:t>67</w:t>
      </w:r>
      <w:r>
        <w:fldChar w:fldCharType="end"/>
      </w:r>
      <w:r>
        <w:fldChar w:fldCharType="end"/>
      </w:r>
    </w:p>
    <w:p w14:paraId="07F12A84">
      <w:pPr>
        <w:pStyle w:val="23"/>
        <w:rPr>
          <w:rFonts w:asciiTheme="minorHAnsi" w:hAnsiTheme="minorHAnsi"/>
          <w:sz w:val="22"/>
          <w14:ligatures w14:val="standardContextual"/>
        </w:rPr>
      </w:pPr>
      <w:r>
        <w:fldChar w:fldCharType="begin"/>
      </w:r>
      <w:r>
        <w:instrText xml:space="preserve"> HYPERLINK \l "_Toc207111754" </w:instrText>
      </w:r>
      <w:r>
        <w:fldChar w:fldCharType="separate"/>
      </w:r>
      <w:r>
        <w:rPr>
          <w:rStyle w:val="33"/>
          <w:color w:val="auto"/>
        </w:rPr>
        <w:t>2.1  术语</w:t>
      </w:r>
      <w:r>
        <w:tab/>
      </w:r>
      <w:r>
        <w:fldChar w:fldCharType="begin"/>
      </w:r>
      <w:r>
        <w:instrText xml:space="preserve"> PAGEREF _Toc207111754 \h </w:instrText>
      </w:r>
      <w:r>
        <w:fldChar w:fldCharType="separate"/>
      </w:r>
      <w:r>
        <w:t>67</w:t>
      </w:r>
      <w:r>
        <w:fldChar w:fldCharType="end"/>
      </w:r>
      <w:r>
        <w:fldChar w:fldCharType="end"/>
      </w:r>
    </w:p>
    <w:p w14:paraId="49F8C572">
      <w:pPr>
        <w:pStyle w:val="20"/>
        <w:rPr>
          <w:rFonts w:asciiTheme="minorHAnsi" w:hAnsiTheme="minorHAnsi" w:eastAsiaTheme="minorEastAsia" w:cstheme="minorBidi"/>
          <w:sz w:val="22"/>
          <w14:ligatures w14:val="standardContextual"/>
        </w:rPr>
      </w:pPr>
      <w:r>
        <w:fldChar w:fldCharType="begin"/>
      </w:r>
      <w:r>
        <w:instrText xml:space="preserve"> HYPERLINK \l "_Toc207111755" </w:instrText>
      </w:r>
      <w:r>
        <w:fldChar w:fldCharType="separate"/>
      </w:r>
      <w:r>
        <w:rPr>
          <w:rStyle w:val="33"/>
          <w:snapToGrid w:val="0"/>
          <w:color w:val="auto"/>
        </w:rPr>
        <w:t>3  基本规定</w:t>
      </w:r>
      <w:r>
        <w:tab/>
      </w:r>
      <w:r>
        <w:fldChar w:fldCharType="begin"/>
      </w:r>
      <w:r>
        <w:instrText xml:space="preserve"> PAGEREF _Toc207111755 \h </w:instrText>
      </w:r>
      <w:r>
        <w:fldChar w:fldCharType="separate"/>
      </w:r>
      <w:r>
        <w:t>68</w:t>
      </w:r>
      <w:r>
        <w:fldChar w:fldCharType="end"/>
      </w:r>
      <w:r>
        <w:fldChar w:fldCharType="end"/>
      </w:r>
    </w:p>
    <w:p w14:paraId="67BB88CB">
      <w:pPr>
        <w:pStyle w:val="20"/>
        <w:rPr>
          <w:rFonts w:asciiTheme="minorHAnsi" w:hAnsiTheme="minorHAnsi" w:eastAsiaTheme="minorEastAsia" w:cstheme="minorBidi"/>
          <w:sz w:val="22"/>
          <w14:ligatures w14:val="standardContextual"/>
        </w:rPr>
      </w:pPr>
      <w:r>
        <w:fldChar w:fldCharType="begin"/>
      </w:r>
      <w:r>
        <w:instrText xml:space="preserve"> HYPERLINK \l "_Toc207111756" </w:instrText>
      </w:r>
      <w:r>
        <w:fldChar w:fldCharType="separate"/>
      </w:r>
      <w:r>
        <w:rPr>
          <w:rStyle w:val="33"/>
          <w:snapToGrid w:val="0"/>
          <w:color w:val="auto"/>
        </w:rPr>
        <w:t>4  材料</w:t>
      </w:r>
      <w:r>
        <w:tab/>
      </w:r>
      <w:r>
        <w:fldChar w:fldCharType="begin"/>
      </w:r>
      <w:r>
        <w:instrText xml:space="preserve"> PAGEREF _Toc207111756 \h </w:instrText>
      </w:r>
      <w:r>
        <w:fldChar w:fldCharType="separate"/>
      </w:r>
      <w:r>
        <w:t>69</w:t>
      </w:r>
      <w:r>
        <w:fldChar w:fldCharType="end"/>
      </w:r>
      <w:r>
        <w:fldChar w:fldCharType="end"/>
      </w:r>
    </w:p>
    <w:p w14:paraId="207BC08B">
      <w:pPr>
        <w:pStyle w:val="23"/>
        <w:rPr>
          <w:rFonts w:asciiTheme="minorHAnsi" w:hAnsiTheme="minorHAnsi"/>
          <w:sz w:val="22"/>
          <w14:ligatures w14:val="standardContextual"/>
        </w:rPr>
      </w:pPr>
      <w:r>
        <w:fldChar w:fldCharType="begin"/>
      </w:r>
      <w:r>
        <w:instrText xml:space="preserve"> HYPERLINK \l "_Toc207111757" </w:instrText>
      </w:r>
      <w:r>
        <w:fldChar w:fldCharType="separate"/>
      </w:r>
      <w:r>
        <w:rPr>
          <w:rStyle w:val="33"/>
          <w:color w:val="auto"/>
        </w:rPr>
        <w:t>4.1  原材料</w:t>
      </w:r>
      <w:r>
        <w:tab/>
      </w:r>
      <w:r>
        <w:fldChar w:fldCharType="begin"/>
      </w:r>
      <w:r>
        <w:instrText xml:space="preserve"> PAGEREF _Toc207111757 \h </w:instrText>
      </w:r>
      <w:r>
        <w:fldChar w:fldCharType="separate"/>
      </w:r>
      <w:r>
        <w:t>69</w:t>
      </w:r>
      <w:r>
        <w:fldChar w:fldCharType="end"/>
      </w:r>
      <w:r>
        <w:fldChar w:fldCharType="end"/>
      </w:r>
    </w:p>
    <w:p w14:paraId="46966472">
      <w:pPr>
        <w:pStyle w:val="23"/>
        <w:rPr>
          <w:rFonts w:asciiTheme="minorHAnsi" w:hAnsiTheme="minorHAnsi"/>
          <w:sz w:val="22"/>
          <w14:ligatures w14:val="standardContextual"/>
        </w:rPr>
      </w:pPr>
      <w:r>
        <w:fldChar w:fldCharType="begin"/>
      </w:r>
      <w:r>
        <w:instrText xml:space="preserve"> HYPERLINK \l "_Toc207111758" </w:instrText>
      </w:r>
      <w:r>
        <w:fldChar w:fldCharType="separate"/>
      </w:r>
      <w:r>
        <w:rPr>
          <w:rStyle w:val="33"/>
          <w:color w:val="auto"/>
        </w:rPr>
        <w:t xml:space="preserve">4.2  </w:t>
      </w:r>
      <w:r>
        <w:rPr>
          <w:rStyle w:val="33"/>
          <w:bCs/>
          <w:color w:val="auto"/>
        </w:rPr>
        <w:t>拌合物性能</w:t>
      </w:r>
      <w:r>
        <w:tab/>
      </w:r>
      <w:r>
        <w:fldChar w:fldCharType="begin"/>
      </w:r>
      <w:r>
        <w:instrText xml:space="preserve"> PAGEREF _Toc207111758 \h </w:instrText>
      </w:r>
      <w:r>
        <w:fldChar w:fldCharType="separate"/>
      </w:r>
      <w:r>
        <w:t>69</w:t>
      </w:r>
      <w:r>
        <w:fldChar w:fldCharType="end"/>
      </w:r>
      <w:r>
        <w:fldChar w:fldCharType="end"/>
      </w:r>
    </w:p>
    <w:p w14:paraId="12983BFD">
      <w:pPr>
        <w:pStyle w:val="23"/>
        <w:rPr>
          <w:rFonts w:asciiTheme="minorHAnsi" w:hAnsiTheme="minorHAnsi"/>
          <w:sz w:val="22"/>
          <w14:ligatures w14:val="standardContextual"/>
        </w:rPr>
      </w:pPr>
      <w:r>
        <w:fldChar w:fldCharType="begin"/>
      </w:r>
      <w:r>
        <w:instrText xml:space="preserve"> HYPERLINK \l "_Toc207111759" </w:instrText>
      </w:r>
      <w:r>
        <w:fldChar w:fldCharType="separate"/>
      </w:r>
      <w:r>
        <w:rPr>
          <w:rStyle w:val="33"/>
          <w:color w:val="auto"/>
        </w:rPr>
        <w:t xml:space="preserve">4.3  </w:t>
      </w:r>
      <w:r>
        <w:rPr>
          <w:rStyle w:val="33"/>
          <w:bCs/>
          <w:color w:val="auto"/>
        </w:rPr>
        <w:t>力学性能</w:t>
      </w:r>
      <w:r>
        <w:tab/>
      </w:r>
      <w:r>
        <w:fldChar w:fldCharType="begin"/>
      </w:r>
      <w:r>
        <w:instrText xml:space="preserve"> PAGEREF _Toc207111759 \h </w:instrText>
      </w:r>
      <w:r>
        <w:fldChar w:fldCharType="separate"/>
      </w:r>
      <w:r>
        <w:t>69</w:t>
      </w:r>
      <w:r>
        <w:fldChar w:fldCharType="end"/>
      </w:r>
      <w:r>
        <w:fldChar w:fldCharType="end"/>
      </w:r>
    </w:p>
    <w:p w14:paraId="754212D4">
      <w:pPr>
        <w:pStyle w:val="23"/>
        <w:rPr>
          <w:rFonts w:asciiTheme="minorHAnsi" w:hAnsiTheme="minorHAnsi"/>
          <w:sz w:val="22"/>
          <w14:ligatures w14:val="standardContextual"/>
        </w:rPr>
      </w:pPr>
      <w:r>
        <w:fldChar w:fldCharType="begin"/>
      </w:r>
      <w:r>
        <w:instrText xml:space="preserve"> HYPERLINK \l "_Toc207111760" </w:instrText>
      </w:r>
      <w:r>
        <w:fldChar w:fldCharType="separate"/>
      </w:r>
      <w:r>
        <w:rPr>
          <w:rStyle w:val="33"/>
          <w:color w:val="auto"/>
        </w:rPr>
        <w:t xml:space="preserve">4.4  </w:t>
      </w:r>
      <w:r>
        <w:rPr>
          <w:rStyle w:val="33"/>
          <w:bCs/>
          <w:color w:val="auto"/>
        </w:rPr>
        <w:t>耐久性能</w:t>
      </w:r>
      <w:r>
        <w:tab/>
      </w:r>
      <w:r>
        <w:fldChar w:fldCharType="begin"/>
      </w:r>
      <w:r>
        <w:instrText xml:space="preserve"> PAGEREF _Toc207111760 \h </w:instrText>
      </w:r>
      <w:r>
        <w:fldChar w:fldCharType="separate"/>
      </w:r>
      <w:r>
        <w:t>70</w:t>
      </w:r>
      <w:r>
        <w:fldChar w:fldCharType="end"/>
      </w:r>
      <w:r>
        <w:fldChar w:fldCharType="end"/>
      </w:r>
    </w:p>
    <w:p w14:paraId="02D93885">
      <w:pPr>
        <w:pStyle w:val="20"/>
        <w:rPr>
          <w:rFonts w:asciiTheme="minorHAnsi" w:hAnsiTheme="minorHAnsi" w:eastAsiaTheme="minorEastAsia" w:cstheme="minorBidi"/>
          <w:sz w:val="22"/>
          <w14:ligatures w14:val="standardContextual"/>
        </w:rPr>
      </w:pPr>
      <w:r>
        <w:fldChar w:fldCharType="begin"/>
      </w:r>
      <w:r>
        <w:instrText xml:space="preserve"> HYPERLINK \l "_Toc207111761" </w:instrText>
      </w:r>
      <w:r>
        <w:fldChar w:fldCharType="separate"/>
      </w:r>
      <w:r>
        <w:rPr>
          <w:rStyle w:val="33"/>
          <w:color w:val="auto"/>
        </w:rPr>
        <w:t>5  砌体构件加固设计</w:t>
      </w:r>
      <w:r>
        <w:tab/>
      </w:r>
      <w:r>
        <w:fldChar w:fldCharType="begin"/>
      </w:r>
      <w:r>
        <w:instrText xml:space="preserve"> PAGEREF _Toc207111761 \h </w:instrText>
      </w:r>
      <w:r>
        <w:fldChar w:fldCharType="separate"/>
      </w:r>
      <w:r>
        <w:t>71</w:t>
      </w:r>
      <w:r>
        <w:fldChar w:fldCharType="end"/>
      </w:r>
      <w:r>
        <w:fldChar w:fldCharType="end"/>
      </w:r>
    </w:p>
    <w:p w14:paraId="6259F033">
      <w:pPr>
        <w:pStyle w:val="23"/>
        <w:rPr>
          <w:rFonts w:asciiTheme="minorHAnsi" w:hAnsiTheme="minorHAnsi"/>
          <w:sz w:val="22"/>
          <w14:ligatures w14:val="standardContextual"/>
        </w:rPr>
      </w:pPr>
      <w:r>
        <w:fldChar w:fldCharType="begin"/>
      </w:r>
      <w:r>
        <w:instrText xml:space="preserve"> HYPERLINK \l "_Toc207111762" </w:instrText>
      </w:r>
      <w:r>
        <w:fldChar w:fldCharType="separate"/>
      </w:r>
      <w:r>
        <w:rPr>
          <w:rStyle w:val="33"/>
          <w:color w:val="auto"/>
        </w:rPr>
        <w:t>5.1  一般规定</w:t>
      </w:r>
      <w:r>
        <w:tab/>
      </w:r>
      <w:r>
        <w:fldChar w:fldCharType="begin"/>
      </w:r>
      <w:r>
        <w:instrText xml:space="preserve"> PAGEREF _Toc207111762 \h </w:instrText>
      </w:r>
      <w:r>
        <w:fldChar w:fldCharType="separate"/>
      </w:r>
      <w:r>
        <w:t>71</w:t>
      </w:r>
      <w:r>
        <w:fldChar w:fldCharType="end"/>
      </w:r>
      <w:r>
        <w:fldChar w:fldCharType="end"/>
      </w:r>
    </w:p>
    <w:p w14:paraId="2F60C2FA">
      <w:pPr>
        <w:pStyle w:val="23"/>
        <w:rPr>
          <w:rFonts w:asciiTheme="minorHAnsi" w:hAnsiTheme="minorHAnsi"/>
          <w:sz w:val="22"/>
          <w14:ligatures w14:val="standardContextual"/>
        </w:rPr>
      </w:pPr>
      <w:r>
        <w:fldChar w:fldCharType="begin"/>
      </w:r>
      <w:r>
        <w:instrText xml:space="preserve"> HYPERLINK \l "_Toc207111763" </w:instrText>
      </w:r>
      <w:r>
        <w:fldChar w:fldCharType="separate"/>
      </w:r>
      <w:r>
        <w:rPr>
          <w:rStyle w:val="33"/>
          <w:color w:val="auto"/>
        </w:rPr>
        <w:t>5.2  砌体抗压加固</w:t>
      </w:r>
      <w:r>
        <w:tab/>
      </w:r>
      <w:r>
        <w:fldChar w:fldCharType="begin"/>
      </w:r>
      <w:r>
        <w:instrText xml:space="preserve"> PAGEREF _Toc207111763 \h </w:instrText>
      </w:r>
      <w:r>
        <w:fldChar w:fldCharType="separate"/>
      </w:r>
      <w:r>
        <w:t>71</w:t>
      </w:r>
      <w:r>
        <w:fldChar w:fldCharType="end"/>
      </w:r>
      <w:r>
        <w:fldChar w:fldCharType="end"/>
      </w:r>
    </w:p>
    <w:p w14:paraId="2E24B143">
      <w:pPr>
        <w:pStyle w:val="23"/>
        <w:rPr>
          <w:rFonts w:asciiTheme="minorHAnsi" w:hAnsiTheme="minorHAnsi"/>
          <w:sz w:val="22"/>
          <w14:ligatures w14:val="standardContextual"/>
        </w:rPr>
      </w:pPr>
      <w:r>
        <w:fldChar w:fldCharType="begin"/>
      </w:r>
      <w:r>
        <w:instrText xml:space="preserve"> HYPERLINK \l "_Toc207111764" </w:instrText>
      </w:r>
      <w:r>
        <w:fldChar w:fldCharType="separate"/>
      </w:r>
      <w:r>
        <w:rPr>
          <w:rStyle w:val="33"/>
          <w:color w:val="auto"/>
        </w:rPr>
        <w:t>5.3  砌体抗剪加固</w:t>
      </w:r>
      <w:r>
        <w:tab/>
      </w:r>
      <w:r>
        <w:fldChar w:fldCharType="begin"/>
      </w:r>
      <w:r>
        <w:instrText xml:space="preserve"> PAGEREF _Toc207111764 \h </w:instrText>
      </w:r>
      <w:r>
        <w:fldChar w:fldCharType="separate"/>
      </w:r>
      <w:r>
        <w:t>73</w:t>
      </w:r>
      <w:r>
        <w:fldChar w:fldCharType="end"/>
      </w:r>
      <w:r>
        <w:fldChar w:fldCharType="end"/>
      </w:r>
    </w:p>
    <w:p w14:paraId="50B112E8">
      <w:pPr>
        <w:pStyle w:val="23"/>
        <w:rPr>
          <w:rFonts w:asciiTheme="minorHAnsi" w:hAnsiTheme="minorHAnsi"/>
          <w:sz w:val="22"/>
          <w14:ligatures w14:val="standardContextual"/>
        </w:rPr>
      </w:pPr>
      <w:r>
        <w:fldChar w:fldCharType="begin"/>
      </w:r>
      <w:r>
        <w:instrText xml:space="preserve"> HYPERLINK \l "_Toc207111765" </w:instrText>
      </w:r>
      <w:r>
        <w:fldChar w:fldCharType="separate"/>
      </w:r>
      <w:r>
        <w:rPr>
          <w:rStyle w:val="33"/>
          <w:color w:val="auto"/>
        </w:rPr>
        <w:t>5.4  砌体抗震加固</w:t>
      </w:r>
      <w:r>
        <w:tab/>
      </w:r>
      <w:r>
        <w:fldChar w:fldCharType="begin"/>
      </w:r>
      <w:r>
        <w:instrText xml:space="preserve"> PAGEREF _Toc207111765 \h </w:instrText>
      </w:r>
      <w:r>
        <w:fldChar w:fldCharType="separate"/>
      </w:r>
      <w:r>
        <w:t>74</w:t>
      </w:r>
      <w:r>
        <w:fldChar w:fldCharType="end"/>
      </w:r>
      <w:r>
        <w:fldChar w:fldCharType="end"/>
      </w:r>
    </w:p>
    <w:p w14:paraId="342F37A2">
      <w:pPr>
        <w:pStyle w:val="23"/>
        <w:rPr>
          <w:rFonts w:asciiTheme="minorHAnsi" w:hAnsiTheme="minorHAnsi"/>
          <w:sz w:val="22"/>
          <w14:ligatures w14:val="standardContextual"/>
        </w:rPr>
      </w:pPr>
      <w:r>
        <w:fldChar w:fldCharType="begin"/>
      </w:r>
      <w:r>
        <w:instrText xml:space="preserve"> HYPERLINK \l "_Toc207111766" </w:instrText>
      </w:r>
      <w:r>
        <w:fldChar w:fldCharType="separate"/>
      </w:r>
      <w:r>
        <w:rPr>
          <w:rStyle w:val="33"/>
          <w:color w:val="auto"/>
        </w:rPr>
        <w:t xml:space="preserve">5.5  </w:t>
      </w:r>
      <w:r>
        <w:rPr>
          <w:rStyle w:val="33"/>
          <w:bCs/>
          <w:color w:val="auto"/>
        </w:rPr>
        <w:t>构造要求</w:t>
      </w:r>
      <w:r>
        <w:tab/>
      </w:r>
      <w:r>
        <w:fldChar w:fldCharType="begin"/>
      </w:r>
      <w:r>
        <w:instrText xml:space="preserve"> PAGEREF _Toc207111766 \h </w:instrText>
      </w:r>
      <w:r>
        <w:fldChar w:fldCharType="separate"/>
      </w:r>
      <w:r>
        <w:t>74</w:t>
      </w:r>
      <w:r>
        <w:fldChar w:fldCharType="end"/>
      </w:r>
      <w:r>
        <w:fldChar w:fldCharType="end"/>
      </w:r>
    </w:p>
    <w:p w14:paraId="1276042B">
      <w:pPr>
        <w:pStyle w:val="20"/>
        <w:rPr>
          <w:rFonts w:asciiTheme="minorHAnsi" w:hAnsiTheme="minorHAnsi" w:eastAsiaTheme="minorEastAsia" w:cstheme="minorBidi"/>
          <w:sz w:val="22"/>
          <w14:ligatures w14:val="standardContextual"/>
        </w:rPr>
      </w:pPr>
      <w:r>
        <w:fldChar w:fldCharType="begin"/>
      </w:r>
      <w:r>
        <w:instrText xml:space="preserve"> HYPERLINK \l "_Toc207111767" </w:instrText>
      </w:r>
      <w:r>
        <w:fldChar w:fldCharType="separate"/>
      </w:r>
      <w:r>
        <w:rPr>
          <w:rStyle w:val="33"/>
          <w:snapToGrid w:val="0"/>
          <w:color w:val="auto"/>
        </w:rPr>
        <w:t>6  混凝土构件加固设计</w:t>
      </w:r>
      <w:r>
        <w:tab/>
      </w:r>
      <w:r>
        <w:fldChar w:fldCharType="begin"/>
      </w:r>
      <w:r>
        <w:instrText xml:space="preserve"> PAGEREF _Toc207111767 \h </w:instrText>
      </w:r>
      <w:r>
        <w:fldChar w:fldCharType="separate"/>
      </w:r>
      <w:r>
        <w:t>76</w:t>
      </w:r>
      <w:r>
        <w:fldChar w:fldCharType="end"/>
      </w:r>
      <w:r>
        <w:fldChar w:fldCharType="end"/>
      </w:r>
    </w:p>
    <w:p w14:paraId="548A8F94">
      <w:pPr>
        <w:pStyle w:val="23"/>
        <w:rPr>
          <w:rFonts w:asciiTheme="minorHAnsi" w:hAnsiTheme="minorHAnsi"/>
          <w:sz w:val="22"/>
          <w14:ligatures w14:val="standardContextual"/>
        </w:rPr>
      </w:pPr>
      <w:r>
        <w:fldChar w:fldCharType="begin"/>
      </w:r>
      <w:r>
        <w:instrText xml:space="preserve"> HYPERLINK \l "_Toc207111768" </w:instrText>
      </w:r>
      <w:r>
        <w:fldChar w:fldCharType="separate"/>
      </w:r>
      <w:r>
        <w:rPr>
          <w:rStyle w:val="33"/>
          <w:color w:val="auto"/>
        </w:rPr>
        <w:t>6.1  一般规定</w:t>
      </w:r>
      <w:r>
        <w:tab/>
      </w:r>
      <w:r>
        <w:fldChar w:fldCharType="begin"/>
      </w:r>
      <w:r>
        <w:instrText xml:space="preserve"> PAGEREF _Toc207111768 \h </w:instrText>
      </w:r>
      <w:r>
        <w:fldChar w:fldCharType="separate"/>
      </w:r>
      <w:r>
        <w:t>76</w:t>
      </w:r>
      <w:r>
        <w:fldChar w:fldCharType="end"/>
      </w:r>
      <w:r>
        <w:fldChar w:fldCharType="end"/>
      </w:r>
    </w:p>
    <w:p w14:paraId="62B3162D">
      <w:pPr>
        <w:pStyle w:val="23"/>
        <w:rPr>
          <w:rFonts w:asciiTheme="minorHAnsi" w:hAnsiTheme="minorHAnsi"/>
          <w:sz w:val="22"/>
          <w14:ligatures w14:val="standardContextual"/>
        </w:rPr>
      </w:pPr>
      <w:r>
        <w:fldChar w:fldCharType="begin"/>
      </w:r>
      <w:r>
        <w:instrText xml:space="preserve"> HYPERLINK \l "_Toc207111769" </w:instrText>
      </w:r>
      <w:r>
        <w:fldChar w:fldCharType="separate"/>
      </w:r>
      <w:r>
        <w:rPr>
          <w:rStyle w:val="33"/>
          <w:color w:val="auto"/>
        </w:rPr>
        <w:t>6.2  钢筋混凝土剪力墙抗剪加固</w:t>
      </w:r>
      <w:r>
        <w:tab/>
      </w:r>
      <w:r>
        <w:fldChar w:fldCharType="begin"/>
      </w:r>
      <w:r>
        <w:instrText xml:space="preserve"> PAGEREF _Toc207111769 \h </w:instrText>
      </w:r>
      <w:r>
        <w:fldChar w:fldCharType="separate"/>
      </w:r>
      <w:r>
        <w:t>76</w:t>
      </w:r>
      <w:r>
        <w:fldChar w:fldCharType="end"/>
      </w:r>
      <w:r>
        <w:fldChar w:fldCharType="end"/>
      </w:r>
    </w:p>
    <w:p w14:paraId="0B66AE64">
      <w:pPr>
        <w:pStyle w:val="23"/>
        <w:rPr>
          <w:rFonts w:asciiTheme="minorHAnsi" w:hAnsiTheme="minorHAnsi"/>
          <w:sz w:val="22"/>
          <w14:ligatures w14:val="standardContextual"/>
        </w:rPr>
      </w:pPr>
      <w:r>
        <w:fldChar w:fldCharType="begin"/>
      </w:r>
      <w:r>
        <w:instrText xml:space="preserve"> HYPERLINK \l "_Toc207111770" </w:instrText>
      </w:r>
      <w:r>
        <w:fldChar w:fldCharType="separate"/>
      </w:r>
      <w:r>
        <w:rPr>
          <w:rStyle w:val="33"/>
          <w:color w:val="auto"/>
        </w:rPr>
        <w:t>6.3  钢筋混凝土梁抗剪加固</w:t>
      </w:r>
      <w:r>
        <w:tab/>
      </w:r>
      <w:r>
        <w:fldChar w:fldCharType="begin"/>
      </w:r>
      <w:r>
        <w:instrText xml:space="preserve"> PAGEREF _Toc207111770 \h </w:instrText>
      </w:r>
      <w:r>
        <w:fldChar w:fldCharType="separate"/>
      </w:r>
      <w:r>
        <w:t>76</w:t>
      </w:r>
      <w:r>
        <w:fldChar w:fldCharType="end"/>
      </w:r>
      <w:r>
        <w:fldChar w:fldCharType="end"/>
      </w:r>
    </w:p>
    <w:p w14:paraId="7D3CF755">
      <w:pPr>
        <w:pStyle w:val="23"/>
        <w:rPr>
          <w:rFonts w:asciiTheme="minorHAnsi" w:hAnsiTheme="minorHAnsi"/>
          <w:sz w:val="22"/>
          <w14:ligatures w14:val="standardContextual"/>
        </w:rPr>
      </w:pPr>
      <w:r>
        <w:fldChar w:fldCharType="begin"/>
      </w:r>
      <w:r>
        <w:instrText xml:space="preserve"> HYPERLINK \l "_Toc207111771" </w:instrText>
      </w:r>
      <w:r>
        <w:fldChar w:fldCharType="separate"/>
      </w:r>
      <w:r>
        <w:rPr>
          <w:rStyle w:val="33"/>
          <w:color w:val="auto"/>
        </w:rPr>
        <w:t>6.4  钢筋混凝土柱正截面抗压加固</w:t>
      </w:r>
      <w:r>
        <w:tab/>
      </w:r>
      <w:r>
        <w:fldChar w:fldCharType="begin"/>
      </w:r>
      <w:r>
        <w:instrText xml:space="preserve"> PAGEREF _Toc207111771 \h </w:instrText>
      </w:r>
      <w:r>
        <w:fldChar w:fldCharType="separate"/>
      </w:r>
      <w:r>
        <w:t>76</w:t>
      </w:r>
      <w:r>
        <w:fldChar w:fldCharType="end"/>
      </w:r>
      <w:r>
        <w:fldChar w:fldCharType="end"/>
      </w:r>
    </w:p>
    <w:p w14:paraId="26E9833F">
      <w:pPr>
        <w:pStyle w:val="23"/>
        <w:rPr>
          <w:rFonts w:asciiTheme="minorHAnsi" w:hAnsiTheme="minorHAnsi"/>
          <w:sz w:val="22"/>
          <w14:ligatures w14:val="standardContextual"/>
        </w:rPr>
      </w:pPr>
      <w:r>
        <w:fldChar w:fldCharType="begin"/>
      </w:r>
      <w:r>
        <w:instrText xml:space="preserve"> HYPERLINK \l "_Toc207111772" </w:instrText>
      </w:r>
      <w:r>
        <w:fldChar w:fldCharType="separate"/>
      </w:r>
      <w:r>
        <w:rPr>
          <w:rStyle w:val="33"/>
          <w:color w:val="auto"/>
        </w:rPr>
        <w:t xml:space="preserve">6.6  </w:t>
      </w:r>
      <w:r>
        <w:rPr>
          <w:rStyle w:val="33"/>
          <w:bCs/>
          <w:color w:val="auto"/>
        </w:rPr>
        <w:t>构造要求</w:t>
      </w:r>
      <w:r>
        <w:tab/>
      </w:r>
      <w:r>
        <w:fldChar w:fldCharType="begin"/>
      </w:r>
      <w:r>
        <w:instrText xml:space="preserve"> PAGEREF _Toc207111772 \h </w:instrText>
      </w:r>
      <w:r>
        <w:fldChar w:fldCharType="separate"/>
      </w:r>
      <w:r>
        <w:t>77</w:t>
      </w:r>
      <w:r>
        <w:fldChar w:fldCharType="end"/>
      </w:r>
      <w:r>
        <w:fldChar w:fldCharType="end"/>
      </w:r>
    </w:p>
    <w:p w14:paraId="675CDC07">
      <w:pPr>
        <w:pStyle w:val="20"/>
        <w:rPr>
          <w:rFonts w:asciiTheme="minorHAnsi" w:hAnsiTheme="minorHAnsi" w:eastAsiaTheme="minorEastAsia" w:cstheme="minorBidi"/>
          <w:sz w:val="22"/>
          <w14:ligatures w14:val="standardContextual"/>
        </w:rPr>
      </w:pPr>
      <w:r>
        <w:fldChar w:fldCharType="begin"/>
      </w:r>
      <w:r>
        <w:instrText xml:space="preserve"> HYPERLINK \l "_Toc207111773" </w:instrText>
      </w:r>
      <w:r>
        <w:fldChar w:fldCharType="separate"/>
      </w:r>
      <w:r>
        <w:rPr>
          <w:rStyle w:val="33"/>
          <w:snapToGrid w:val="0"/>
          <w:color w:val="auto"/>
        </w:rPr>
        <w:t>7  施工</w:t>
      </w:r>
      <w:r>
        <w:tab/>
      </w:r>
      <w:r>
        <w:fldChar w:fldCharType="begin"/>
      </w:r>
      <w:r>
        <w:instrText xml:space="preserve"> PAGEREF _Toc207111773 \h </w:instrText>
      </w:r>
      <w:r>
        <w:fldChar w:fldCharType="separate"/>
      </w:r>
      <w:r>
        <w:t>78</w:t>
      </w:r>
      <w:r>
        <w:fldChar w:fldCharType="end"/>
      </w:r>
      <w:r>
        <w:fldChar w:fldCharType="end"/>
      </w:r>
    </w:p>
    <w:p w14:paraId="7071F811">
      <w:pPr>
        <w:pStyle w:val="23"/>
        <w:rPr>
          <w:rFonts w:asciiTheme="minorHAnsi" w:hAnsiTheme="minorHAnsi"/>
          <w:sz w:val="22"/>
          <w14:ligatures w14:val="standardContextual"/>
        </w:rPr>
      </w:pPr>
      <w:r>
        <w:fldChar w:fldCharType="begin"/>
      </w:r>
      <w:r>
        <w:instrText xml:space="preserve"> HYPERLINK \l "_Toc207111774" </w:instrText>
      </w:r>
      <w:r>
        <w:fldChar w:fldCharType="separate"/>
      </w:r>
      <w:r>
        <w:rPr>
          <w:rStyle w:val="33"/>
          <w:color w:val="auto"/>
        </w:rPr>
        <w:t>7.1  一般规定</w:t>
      </w:r>
      <w:r>
        <w:tab/>
      </w:r>
      <w:r>
        <w:fldChar w:fldCharType="begin"/>
      </w:r>
      <w:r>
        <w:instrText xml:space="preserve"> PAGEREF _Toc207111774 \h </w:instrText>
      </w:r>
      <w:r>
        <w:fldChar w:fldCharType="separate"/>
      </w:r>
      <w:r>
        <w:t>78</w:t>
      </w:r>
      <w:r>
        <w:fldChar w:fldCharType="end"/>
      </w:r>
      <w:r>
        <w:fldChar w:fldCharType="end"/>
      </w:r>
    </w:p>
    <w:p w14:paraId="5F46AA39">
      <w:pPr>
        <w:pStyle w:val="23"/>
        <w:rPr>
          <w:rFonts w:asciiTheme="minorHAnsi" w:hAnsiTheme="minorHAnsi"/>
          <w:sz w:val="22"/>
          <w14:ligatures w14:val="standardContextual"/>
        </w:rPr>
      </w:pPr>
      <w:r>
        <w:fldChar w:fldCharType="begin"/>
      </w:r>
      <w:r>
        <w:instrText xml:space="preserve"> HYPERLINK \l "_Toc207111775" </w:instrText>
      </w:r>
      <w:r>
        <w:fldChar w:fldCharType="separate"/>
      </w:r>
      <w:r>
        <w:rPr>
          <w:rStyle w:val="33"/>
          <w:color w:val="auto"/>
        </w:rPr>
        <w:t xml:space="preserve">7.2  </w:t>
      </w:r>
      <w:r>
        <w:rPr>
          <w:rStyle w:val="33"/>
          <w:bCs/>
          <w:color w:val="auto"/>
        </w:rPr>
        <w:t>施工要点</w:t>
      </w:r>
      <w:r>
        <w:tab/>
      </w:r>
      <w:r>
        <w:fldChar w:fldCharType="begin"/>
      </w:r>
      <w:r>
        <w:instrText xml:space="preserve"> PAGEREF _Toc207111775 \h </w:instrText>
      </w:r>
      <w:r>
        <w:fldChar w:fldCharType="separate"/>
      </w:r>
      <w:r>
        <w:t>78</w:t>
      </w:r>
      <w:r>
        <w:fldChar w:fldCharType="end"/>
      </w:r>
      <w:r>
        <w:fldChar w:fldCharType="end"/>
      </w:r>
    </w:p>
    <w:p w14:paraId="34FD24E6">
      <w:pPr>
        <w:pStyle w:val="23"/>
        <w:rPr>
          <w:rFonts w:asciiTheme="minorHAnsi" w:hAnsiTheme="minorHAnsi"/>
          <w:sz w:val="22"/>
          <w14:ligatures w14:val="standardContextual"/>
        </w:rPr>
      </w:pPr>
      <w:r>
        <w:fldChar w:fldCharType="begin"/>
      </w:r>
      <w:r>
        <w:instrText xml:space="preserve"> HYPERLINK \l "_Toc207111776" </w:instrText>
      </w:r>
      <w:r>
        <w:fldChar w:fldCharType="separate"/>
      </w:r>
      <w:r>
        <w:rPr>
          <w:rStyle w:val="33"/>
          <w:color w:val="auto"/>
        </w:rPr>
        <w:t xml:space="preserve">7.3  </w:t>
      </w:r>
      <w:r>
        <w:rPr>
          <w:rStyle w:val="33"/>
          <w:bCs/>
          <w:color w:val="auto"/>
        </w:rPr>
        <w:t>季节性施工</w:t>
      </w:r>
      <w:r>
        <w:tab/>
      </w:r>
      <w:r>
        <w:fldChar w:fldCharType="begin"/>
      </w:r>
      <w:r>
        <w:instrText xml:space="preserve"> PAGEREF _Toc207111776 \h </w:instrText>
      </w:r>
      <w:r>
        <w:fldChar w:fldCharType="separate"/>
      </w:r>
      <w:r>
        <w:t>78</w:t>
      </w:r>
      <w:r>
        <w:fldChar w:fldCharType="end"/>
      </w:r>
      <w:r>
        <w:fldChar w:fldCharType="end"/>
      </w:r>
    </w:p>
    <w:p w14:paraId="6E7D5D60">
      <w:pPr>
        <w:pStyle w:val="20"/>
        <w:rPr>
          <w:rFonts w:asciiTheme="minorHAnsi" w:hAnsiTheme="minorHAnsi" w:eastAsiaTheme="minorEastAsia" w:cstheme="minorBidi"/>
          <w:sz w:val="22"/>
          <w14:ligatures w14:val="standardContextual"/>
        </w:rPr>
      </w:pPr>
      <w:r>
        <w:fldChar w:fldCharType="begin"/>
      </w:r>
      <w:r>
        <w:instrText xml:space="preserve"> HYPERLINK \l "_Toc207111777" </w:instrText>
      </w:r>
      <w:r>
        <w:fldChar w:fldCharType="separate"/>
      </w:r>
      <w:r>
        <w:rPr>
          <w:rStyle w:val="33"/>
          <w:snapToGrid w:val="0"/>
          <w:color w:val="auto"/>
        </w:rPr>
        <w:t>8  质量验收</w:t>
      </w:r>
      <w:r>
        <w:tab/>
      </w:r>
      <w:r>
        <w:fldChar w:fldCharType="begin"/>
      </w:r>
      <w:r>
        <w:instrText xml:space="preserve"> PAGEREF _Toc207111777 \h </w:instrText>
      </w:r>
      <w:r>
        <w:fldChar w:fldCharType="separate"/>
      </w:r>
      <w:r>
        <w:t>79</w:t>
      </w:r>
      <w:r>
        <w:fldChar w:fldCharType="end"/>
      </w:r>
      <w:r>
        <w:fldChar w:fldCharType="end"/>
      </w:r>
    </w:p>
    <w:p w14:paraId="5A741333">
      <w:pPr>
        <w:pStyle w:val="23"/>
        <w:rPr>
          <w:rFonts w:asciiTheme="minorHAnsi" w:hAnsiTheme="minorHAnsi"/>
          <w:sz w:val="22"/>
          <w14:ligatures w14:val="standardContextual"/>
        </w:rPr>
      </w:pPr>
      <w:r>
        <w:fldChar w:fldCharType="begin"/>
      </w:r>
      <w:r>
        <w:instrText xml:space="preserve"> HYPERLINK \l "_Toc207111778" </w:instrText>
      </w:r>
      <w:r>
        <w:fldChar w:fldCharType="separate"/>
      </w:r>
      <w:r>
        <w:rPr>
          <w:rStyle w:val="33"/>
          <w:color w:val="auto"/>
        </w:rPr>
        <w:t xml:space="preserve">8.1  </w:t>
      </w:r>
      <w:r>
        <w:rPr>
          <w:rStyle w:val="33"/>
          <w:bCs/>
          <w:color w:val="auto"/>
        </w:rPr>
        <w:t>一般规定</w:t>
      </w:r>
      <w:r>
        <w:tab/>
      </w:r>
      <w:r>
        <w:fldChar w:fldCharType="begin"/>
      </w:r>
      <w:r>
        <w:instrText xml:space="preserve"> PAGEREF _Toc207111778 \h </w:instrText>
      </w:r>
      <w:r>
        <w:fldChar w:fldCharType="separate"/>
      </w:r>
      <w:r>
        <w:t>79</w:t>
      </w:r>
      <w:r>
        <w:fldChar w:fldCharType="end"/>
      </w:r>
      <w:r>
        <w:fldChar w:fldCharType="end"/>
      </w:r>
    </w:p>
    <w:p w14:paraId="321177F3">
      <w:pPr>
        <w:pStyle w:val="23"/>
        <w:rPr>
          <w:rFonts w:asciiTheme="minorHAnsi" w:hAnsiTheme="minorHAnsi"/>
          <w:sz w:val="22"/>
          <w14:ligatures w14:val="standardContextual"/>
        </w:rPr>
      </w:pPr>
      <w:r>
        <w:fldChar w:fldCharType="begin"/>
      </w:r>
      <w:r>
        <w:instrText xml:space="preserve"> HYPERLINK \l "_Toc207111779" </w:instrText>
      </w:r>
      <w:r>
        <w:fldChar w:fldCharType="separate"/>
      </w:r>
      <w:r>
        <w:rPr>
          <w:rStyle w:val="33"/>
          <w:color w:val="auto"/>
        </w:rPr>
        <w:t xml:space="preserve">8.2  </w:t>
      </w:r>
      <w:r>
        <w:rPr>
          <w:rStyle w:val="33"/>
          <w:bCs/>
          <w:color w:val="auto"/>
        </w:rPr>
        <w:t>材料</w:t>
      </w:r>
      <w:r>
        <w:tab/>
      </w:r>
      <w:r>
        <w:fldChar w:fldCharType="begin"/>
      </w:r>
      <w:r>
        <w:instrText xml:space="preserve"> PAGEREF _Toc207111779 \h </w:instrText>
      </w:r>
      <w:r>
        <w:fldChar w:fldCharType="separate"/>
      </w:r>
      <w:r>
        <w:t>79</w:t>
      </w:r>
      <w:r>
        <w:fldChar w:fldCharType="end"/>
      </w:r>
      <w:r>
        <w:fldChar w:fldCharType="end"/>
      </w:r>
    </w:p>
    <w:p w14:paraId="633378BF">
      <w:pPr>
        <w:pStyle w:val="20"/>
        <w:rPr>
          <w:rFonts w:asciiTheme="minorHAnsi" w:hAnsiTheme="minorHAnsi" w:eastAsiaTheme="minorEastAsia" w:cstheme="minorBidi"/>
          <w:sz w:val="22"/>
          <w14:ligatures w14:val="standardContextual"/>
        </w:rPr>
      </w:pPr>
      <w:r>
        <w:fldChar w:fldCharType="begin"/>
      </w:r>
      <w:r>
        <w:instrText xml:space="preserve"> HYPERLINK \l "_Toc207111780" </w:instrText>
      </w:r>
      <w:r>
        <w:fldChar w:fldCharType="separate"/>
      </w:r>
      <w:r>
        <w:rPr>
          <w:rStyle w:val="33"/>
          <w:snapToGrid w:val="0"/>
          <w:color w:val="auto"/>
        </w:rPr>
        <w:t>附录A  高延性混凝土弯曲试验方法</w:t>
      </w:r>
      <w:r>
        <w:tab/>
      </w:r>
      <w:r>
        <w:fldChar w:fldCharType="begin"/>
      </w:r>
      <w:r>
        <w:instrText xml:space="preserve"> PAGEREF _Toc207111780 \h </w:instrText>
      </w:r>
      <w:r>
        <w:fldChar w:fldCharType="separate"/>
      </w:r>
      <w:r>
        <w:t>80</w:t>
      </w:r>
      <w:r>
        <w:fldChar w:fldCharType="end"/>
      </w:r>
      <w:r>
        <w:fldChar w:fldCharType="end"/>
      </w:r>
    </w:p>
    <w:p w14:paraId="48AC1E90">
      <w:pPr>
        <w:pStyle w:val="20"/>
        <w:rPr>
          <w:rFonts w:asciiTheme="minorHAnsi" w:hAnsiTheme="minorHAnsi" w:eastAsiaTheme="minorEastAsia" w:cstheme="minorBidi"/>
          <w:sz w:val="22"/>
          <w14:ligatures w14:val="standardContextual"/>
        </w:rPr>
      </w:pPr>
      <w:r>
        <w:fldChar w:fldCharType="begin"/>
      </w:r>
      <w:r>
        <w:instrText xml:space="preserve"> HYPERLINK \l "_Toc207111781" </w:instrText>
      </w:r>
      <w:r>
        <w:fldChar w:fldCharType="separate"/>
      </w:r>
      <w:r>
        <w:rPr>
          <w:rStyle w:val="33"/>
          <w:snapToGrid w:val="0"/>
          <w:color w:val="auto"/>
        </w:rPr>
        <w:t>附录B  高延性混凝土力学性能快速</w:t>
      </w:r>
      <w:r>
        <w:tab/>
      </w:r>
      <w:r>
        <w:fldChar w:fldCharType="begin"/>
      </w:r>
      <w:r>
        <w:instrText xml:space="preserve"> PAGEREF _Toc207111781 \h </w:instrText>
      </w:r>
      <w:r>
        <w:fldChar w:fldCharType="separate"/>
      </w:r>
      <w:r>
        <w:t>81</w:t>
      </w:r>
      <w:r>
        <w:fldChar w:fldCharType="end"/>
      </w:r>
      <w:r>
        <w:fldChar w:fldCharType="end"/>
      </w:r>
    </w:p>
    <w:p w14:paraId="0E1D58BA">
      <w:pPr>
        <w:pStyle w:val="20"/>
        <w:rPr>
          <w:rFonts w:asciiTheme="minorHAnsi" w:hAnsiTheme="minorHAnsi" w:eastAsiaTheme="minorEastAsia" w:cstheme="minorBidi"/>
          <w:sz w:val="22"/>
          <w14:ligatures w14:val="standardContextual"/>
        </w:rPr>
      </w:pPr>
      <w:r>
        <w:fldChar w:fldCharType="begin"/>
      </w:r>
      <w:r>
        <w:instrText xml:space="preserve"> HYPERLINK \l "_Toc207111782" </w:instrText>
      </w:r>
      <w:r>
        <w:fldChar w:fldCharType="separate"/>
      </w:r>
      <w:r>
        <w:rPr>
          <w:rStyle w:val="33"/>
          <w:snapToGrid w:val="0"/>
          <w:color w:val="auto"/>
        </w:rPr>
        <w:t>检验评定方法</w:t>
      </w:r>
      <w:r>
        <w:tab/>
      </w:r>
      <w:r>
        <w:fldChar w:fldCharType="begin"/>
      </w:r>
      <w:r>
        <w:instrText xml:space="preserve"> PAGEREF _Toc207111782 \h </w:instrText>
      </w:r>
      <w:r>
        <w:fldChar w:fldCharType="separate"/>
      </w:r>
      <w:r>
        <w:t>81</w:t>
      </w:r>
      <w:r>
        <w:fldChar w:fldCharType="end"/>
      </w:r>
      <w:r>
        <w:fldChar w:fldCharType="end"/>
      </w:r>
    </w:p>
    <w:p w14:paraId="2C1770B2">
      <w:pPr>
        <w:spacing w:after="156" w:line="450" w:lineRule="exact"/>
        <w:ind w:firstLine="800"/>
        <w:jc w:val="center"/>
        <w:rPr>
          <w:rFonts w:eastAsia="宋体" w:cs="Times New Roman"/>
          <w:snapToGrid w:val="0"/>
          <w:kern w:val="0"/>
          <w:sz w:val="28"/>
        </w:rPr>
      </w:pPr>
      <w:r>
        <w:rPr>
          <w:rFonts w:eastAsia="黑体" w:cs="Times New Roman"/>
          <w:snapToGrid w:val="0"/>
          <w:kern w:val="0"/>
          <w:sz w:val="40"/>
        </w:rPr>
        <w:br w:type="page"/>
      </w:r>
    </w:p>
    <w:p w14:paraId="49C5C051">
      <w:pPr>
        <w:pStyle w:val="2"/>
        <w:spacing w:after="312"/>
        <w:rPr>
          <w:snapToGrid w:val="0"/>
        </w:rPr>
      </w:pPr>
      <w:bookmarkStart w:id="1225" w:name="_Toc12902"/>
      <w:bookmarkStart w:id="1226" w:name="_Toc20707"/>
      <w:bookmarkStart w:id="1227" w:name="_Toc207111752"/>
      <w:bookmarkStart w:id="1228" w:name="_Toc13702"/>
      <w:bookmarkStart w:id="1229" w:name="_Toc23953"/>
      <w:r>
        <w:rPr>
          <w:rFonts w:hint="eastAsia"/>
          <w:snapToGrid w:val="0"/>
        </w:rPr>
        <w:t>1  总  则</w:t>
      </w:r>
      <w:bookmarkEnd w:id="1225"/>
      <w:bookmarkEnd w:id="1226"/>
      <w:bookmarkEnd w:id="1227"/>
      <w:bookmarkEnd w:id="1228"/>
      <w:bookmarkEnd w:id="1229"/>
    </w:p>
    <w:p w14:paraId="51CE419E">
      <w:pPr>
        <w:pStyle w:val="4"/>
      </w:pPr>
      <w:r>
        <w:rPr>
          <w:rFonts w:hint="eastAsia"/>
          <w:b/>
        </w:rPr>
        <w:t>1.0.1</w:t>
      </w:r>
      <w:r>
        <w:rPr>
          <w:rFonts w:hint="eastAsia"/>
        </w:rPr>
        <w:t xml:space="preserve">  高延性混凝土在限制结构裂缝，提高结构耐久性、抗震性能、抗剪性能和耐损伤性能等方面具有明显的优越性，在建设工程领域具有广泛的应用前景。特别引人注目的是，配制高延性混凝土，可采用大量的矿物掺合料取代水泥，经纤维与活性掺合料有效复合，不仅强化了混凝土材料的各项关键性能，还大幅度地提高了材料与结构的耐久性，对节约资源和能源，保护生态环境具有重要意义。为规范高延性混凝土在既有建筑加固工程中的应用，并为采用高延性混凝土的结构设计、施工验收等提供技术保障，推动我省工程建设领域的技术进步，编制组根据在高延性混凝土研究与应用方面取得的前期研究成果，联合相关科研单位、设计单位、施工单位和企业，考虑高延性混凝土推广应用的技术需求，制订浙江省地方标准《既有建筑加固高延性混凝土应用技术规程》。本规程主要依据我国现行标准规范、科研成果及工程实践经验编制而成。本规程的制定旨在指导和规范高延性混凝土应用技术的研究、推广和应用，确保高延性混凝土的工程质量。</w:t>
      </w:r>
    </w:p>
    <w:p w14:paraId="70B83611">
      <w:pPr>
        <w:pStyle w:val="4"/>
      </w:pPr>
      <w:r>
        <w:rPr>
          <w:rFonts w:hint="eastAsia"/>
          <w:b/>
        </w:rPr>
        <w:t>1.0.2</w:t>
      </w:r>
      <w:r>
        <w:rPr>
          <w:rFonts w:hint="eastAsia"/>
        </w:rPr>
        <w:t xml:space="preserve">  本条规定了本规程适用于既有建筑加固工程中采用高延性混凝土加固砌体构件和混凝土结构构件的设计、施工和验收。对于在建工程，若考虑采用高延性混凝土进行加固，可由设计单位视情况决定。</w:t>
      </w:r>
    </w:p>
    <w:p w14:paraId="65FF2B0D">
      <w:pPr>
        <w:pStyle w:val="4"/>
      </w:pPr>
      <w:r>
        <w:rPr>
          <w:rFonts w:hint="eastAsia"/>
          <w:b/>
        </w:rPr>
        <w:t xml:space="preserve">1.0.3  </w:t>
      </w:r>
      <w:r>
        <w:rPr>
          <w:rFonts w:hint="eastAsia"/>
        </w:rPr>
        <w:t>本规程与相关的标准、规范进行了合理的分工和衔接，执行时尚应符合相关标准、规范的规定。</w:t>
      </w:r>
    </w:p>
    <w:p w14:paraId="09237BC0">
      <w:pPr>
        <w:spacing w:after="156" w:line="450" w:lineRule="exact"/>
        <w:ind w:firstLine="560"/>
        <w:jc w:val="center"/>
        <w:rPr>
          <w:rFonts w:eastAsia="宋体" w:cs="Times New Roman"/>
          <w:snapToGrid w:val="0"/>
          <w:kern w:val="0"/>
          <w:sz w:val="28"/>
        </w:rPr>
      </w:pPr>
      <w:r>
        <w:rPr>
          <w:rFonts w:eastAsia="宋体" w:cs="Times New Roman"/>
          <w:snapToGrid w:val="0"/>
          <w:kern w:val="0"/>
          <w:sz w:val="28"/>
        </w:rPr>
        <w:br w:type="page"/>
      </w:r>
    </w:p>
    <w:p w14:paraId="5FFA8135">
      <w:pPr>
        <w:pStyle w:val="2"/>
        <w:spacing w:after="312"/>
        <w:rPr>
          <w:snapToGrid w:val="0"/>
        </w:rPr>
      </w:pPr>
      <w:bookmarkStart w:id="1230" w:name="_Toc3017"/>
      <w:bookmarkStart w:id="1231" w:name="_Toc207111753"/>
      <w:bookmarkStart w:id="1232" w:name="_Toc14984"/>
      <w:bookmarkStart w:id="1233" w:name="_Toc22207"/>
      <w:bookmarkStart w:id="1234" w:name="_Toc372"/>
      <w:r>
        <w:rPr>
          <w:snapToGrid w:val="0"/>
        </w:rPr>
        <w:t>2</w:t>
      </w:r>
      <w:r>
        <w:rPr>
          <w:rFonts w:hint="eastAsia"/>
          <w:snapToGrid w:val="0"/>
        </w:rPr>
        <w:t xml:space="preserve">  术  语</w:t>
      </w:r>
      <w:bookmarkEnd w:id="1230"/>
      <w:bookmarkEnd w:id="1231"/>
      <w:bookmarkEnd w:id="1232"/>
      <w:bookmarkEnd w:id="1233"/>
      <w:bookmarkEnd w:id="1234"/>
    </w:p>
    <w:p w14:paraId="184CBD1C">
      <w:pPr>
        <w:pStyle w:val="3"/>
      </w:pPr>
      <w:bookmarkStart w:id="1235" w:name="_Toc207111754"/>
      <w:bookmarkStart w:id="1236" w:name="_Toc26426"/>
      <w:bookmarkStart w:id="1237" w:name="_Toc7075"/>
      <w:bookmarkStart w:id="1238" w:name="_Toc24500"/>
      <w:bookmarkStart w:id="1239" w:name="_Toc14857"/>
      <w:r>
        <w:rPr>
          <w:rFonts w:hint="eastAsia"/>
        </w:rPr>
        <w:t>2.1  术语</w:t>
      </w:r>
      <w:bookmarkEnd w:id="1235"/>
      <w:bookmarkEnd w:id="1236"/>
      <w:bookmarkEnd w:id="1237"/>
      <w:bookmarkEnd w:id="1238"/>
      <w:bookmarkEnd w:id="1239"/>
    </w:p>
    <w:p w14:paraId="52FFAAAC">
      <w:pPr>
        <w:pStyle w:val="4"/>
      </w:pPr>
      <w:r>
        <w:rPr>
          <w:rFonts w:hint="eastAsia"/>
          <w:b/>
          <w:iCs/>
        </w:rPr>
        <w:t xml:space="preserve">2.1.1  </w:t>
      </w:r>
      <w:r>
        <w:rPr>
          <w:rFonts w:hint="eastAsia"/>
        </w:rPr>
        <w:t>高延性混凝土（high ductile concrete，简称HDC），是一种具有高延性、高抗裂性能和高耐损伤能力的新型结构材料。传统的混凝土和纤维混凝土都具有明显的脆性，开裂后很快达到最大拉应力，一般仅</w:t>
      </w:r>
      <w:r>
        <w:t>出现一条主裂缝和少量微裂缝，表现出应变软化特征；高延性混凝土开裂后，应力基本保持不变，应变能维持较长时间的发展，在拉伸和剪切荷载下表现出良好的多裂缝开展和应变硬化特征（图</w:t>
      </w:r>
      <w:r>
        <w:rPr>
          <w:rFonts w:hint="eastAsia"/>
        </w:rPr>
        <w:t>2-</w:t>
      </w:r>
      <w:r>
        <w:t>1）。</w:t>
      </w:r>
    </w:p>
    <w:p w14:paraId="3543579C">
      <w:pPr>
        <w:spacing w:after="156" w:line="240" w:lineRule="atLeast"/>
        <w:ind w:firstLine="420"/>
        <w:jc w:val="center"/>
      </w:pPr>
      <w:r>
        <w:drawing>
          <wp:inline distT="0" distB="0" distL="114300" distR="114300">
            <wp:extent cx="2609215" cy="2298065"/>
            <wp:effectExtent l="0" t="0" r="0" b="0"/>
            <wp:docPr id="61"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22"/>
                    <pic:cNvPicPr>
                      <a:picLocks noChangeAspect="1"/>
                    </pic:cNvPicPr>
                  </pic:nvPicPr>
                  <pic:blipFill>
                    <a:blip r:embed="rId523"/>
                    <a:stretch>
                      <a:fillRect/>
                    </a:stretch>
                  </pic:blipFill>
                  <pic:spPr>
                    <a:xfrm>
                      <a:off x="0" y="0"/>
                      <a:ext cx="2609215" cy="2298065"/>
                    </a:xfrm>
                    <a:prstGeom prst="rect">
                      <a:avLst/>
                    </a:prstGeom>
                    <a:noFill/>
                    <a:ln>
                      <a:noFill/>
                    </a:ln>
                  </pic:spPr>
                </pic:pic>
              </a:graphicData>
            </a:graphic>
          </wp:inline>
        </w:drawing>
      </w:r>
    </w:p>
    <w:p w14:paraId="7384CE51">
      <w:pPr>
        <w:spacing w:before="156" w:beforeLines="50" w:after="312" w:line="312" w:lineRule="auto"/>
        <w:ind w:firstLine="420"/>
        <w:jc w:val="center"/>
        <w:rPr>
          <w:rFonts w:eastAsia="黑体" w:cs="Times New Roman"/>
          <w:szCs w:val="21"/>
        </w:rPr>
      </w:pPr>
      <w:r>
        <w:rPr>
          <w:rFonts w:eastAsia="黑体" w:cs="Times New Roman"/>
          <w:szCs w:val="21"/>
        </w:rPr>
        <w:t>图2-1 高延性混凝土单轴拉伸曲线比较</w:t>
      </w:r>
    </w:p>
    <w:p w14:paraId="48EBE0AD">
      <w:pPr>
        <w:spacing w:after="312" w:line="312" w:lineRule="auto"/>
        <w:ind w:firstLine="420"/>
        <w:jc w:val="center"/>
        <w:rPr>
          <w:rFonts w:cs="Times New Roman"/>
          <w:szCs w:val="21"/>
        </w:rPr>
      </w:pPr>
      <w:r>
        <w:rPr>
          <w:rFonts w:cs="Times New Roman"/>
          <w:szCs w:val="21"/>
        </w:rPr>
        <w:t>1-</w:t>
      </w:r>
      <w:r>
        <w:rPr>
          <w:rFonts w:hint="eastAsia" w:cs="Times New Roman"/>
          <w:szCs w:val="21"/>
        </w:rPr>
        <w:t>普通混凝土</w:t>
      </w:r>
      <w:r>
        <w:rPr>
          <w:rFonts w:cs="Times New Roman"/>
          <w:szCs w:val="21"/>
        </w:rPr>
        <w:t>；2</w:t>
      </w:r>
      <w:r>
        <w:rPr>
          <w:rFonts w:hint="eastAsia" w:cs="Times New Roman"/>
          <w:szCs w:val="21"/>
        </w:rPr>
        <w:t>-纤维混凝土</w:t>
      </w:r>
      <w:r>
        <w:rPr>
          <w:rFonts w:cs="Times New Roman"/>
          <w:szCs w:val="21"/>
        </w:rPr>
        <w:t>；3</w:t>
      </w:r>
      <w:r>
        <w:rPr>
          <w:rFonts w:hint="eastAsia" w:cs="Times New Roman"/>
          <w:szCs w:val="21"/>
        </w:rPr>
        <w:t>-高延性混凝土</w:t>
      </w:r>
    </w:p>
    <w:p w14:paraId="1C173261">
      <w:pPr>
        <w:ind w:firstLine="420"/>
        <w:rPr>
          <w:snapToGrid w:val="0"/>
        </w:rPr>
      </w:pPr>
      <w:r>
        <w:rPr>
          <w:snapToGrid w:val="0"/>
        </w:rPr>
        <w:t>本规程4.</w:t>
      </w:r>
      <w:r>
        <w:rPr>
          <w:rFonts w:hint="eastAsia"/>
          <w:snapToGrid w:val="0"/>
        </w:rPr>
        <w:t>3</w:t>
      </w:r>
      <w:r>
        <w:rPr>
          <w:snapToGrid w:val="0"/>
        </w:rPr>
        <w:t>节对高延性混凝土的强度指标和韧性指标均有明确规定。为达到其韧性指标要求，目前制备高延性混凝土都需要掺加</w:t>
      </w:r>
      <w:r>
        <w:rPr>
          <w:rFonts w:hint="eastAsia"/>
          <w:snapToGrid w:val="0"/>
        </w:rPr>
        <w:t>合成</w:t>
      </w:r>
      <w:r>
        <w:rPr>
          <w:snapToGrid w:val="0"/>
        </w:rPr>
        <w:t>纤维作为增韧材料。但通过纤维增韧只是实现高延性的手段之一，随着混凝土制备技术的发展与进步，以后不排除采用其他方式也可以配制出高延性混凝土。</w:t>
      </w:r>
    </w:p>
    <w:p w14:paraId="40F46B6F">
      <w:pPr>
        <w:pStyle w:val="4"/>
      </w:pPr>
      <w:r>
        <w:rPr>
          <w:rFonts w:hint="eastAsia"/>
          <w:b/>
        </w:rPr>
        <w:t>2.1.2</w:t>
      </w:r>
      <w:r>
        <w:rPr>
          <w:rFonts w:hint="eastAsia"/>
        </w:rPr>
        <w:t xml:space="preserve">  对于现有需要加固的结构，往往很难实现加固前的完全卸载，即原结构在加固前已处于受力状态，对已处于受力状态的结构进行加固称为二次受力，加固之前原来结构已经承受的荷载就是一次受力。一般结构需要加固载能不足的时候，加固前原结构的截面应力、应变水平一般都已经很高了。这时候加固新增的高延性混凝土面层并不能立即承受荷载，而是在新荷载（即二次受力）下才开始受力。此时，新增高延性混凝土面层的应变滞后于原结构的应变，当原结构达到极限状态时，新增高延性混凝土面层还没达到上述的“实际强度”，因此引入二次受压影响系数。</w:t>
      </w:r>
    </w:p>
    <w:p w14:paraId="7BCA6400">
      <w:pPr>
        <w:spacing w:after="156" w:line="450" w:lineRule="exact"/>
        <w:ind w:firstLine="560"/>
        <w:jc w:val="center"/>
        <w:rPr>
          <w:rFonts w:eastAsia="宋体" w:cs="Times New Roman"/>
          <w:snapToGrid w:val="0"/>
          <w:kern w:val="0"/>
          <w:sz w:val="28"/>
        </w:rPr>
      </w:pPr>
      <w:r>
        <w:rPr>
          <w:rFonts w:eastAsia="宋体" w:cs="Times New Roman"/>
          <w:snapToGrid w:val="0"/>
          <w:kern w:val="0"/>
          <w:sz w:val="28"/>
          <w:szCs w:val="21"/>
        </w:rPr>
        <w:br w:type="page"/>
      </w:r>
    </w:p>
    <w:p w14:paraId="7924CB58">
      <w:pPr>
        <w:pStyle w:val="2"/>
        <w:spacing w:after="312"/>
        <w:rPr>
          <w:snapToGrid w:val="0"/>
        </w:rPr>
      </w:pPr>
      <w:bookmarkStart w:id="1240" w:name="_Toc18445"/>
      <w:bookmarkStart w:id="1241" w:name="_Toc5755"/>
      <w:bookmarkStart w:id="1242" w:name="_Toc15781"/>
      <w:bookmarkStart w:id="1243" w:name="_Toc207111755"/>
      <w:bookmarkStart w:id="1244" w:name="_Toc26468"/>
      <w:r>
        <w:rPr>
          <w:snapToGrid w:val="0"/>
        </w:rPr>
        <w:t>3</w:t>
      </w:r>
      <w:r>
        <w:rPr>
          <w:rFonts w:hint="eastAsia"/>
          <w:snapToGrid w:val="0"/>
        </w:rPr>
        <w:t xml:space="preserve">  基本规定</w:t>
      </w:r>
      <w:bookmarkEnd w:id="1240"/>
      <w:bookmarkEnd w:id="1241"/>
      <w:bookmarkEnd w:id="1242"/>
      <w:bookmarkEnd w:id="1243"/>
      <w:bookmarkEnd w:id="1244"/>
    </w:p>
    <w:p w14:paraId="3D0D8172">
      <w:pPr>
        <w:pStyle w:val="4"/>
      </w:pPr>
      <w:r>
        <w:rPr>
          <w:rFonts w:hint="eastAsia"/>
          <w:b/>
        </w:rPr>
        <w:t>3.0.3</w:t>
      </w:r>
      <w:r>
        <w:rPr>
          <w:rFonts w:hint="eastAsia"/>
        </w:rPr>
        <w:t xml:space="preserve">  本条关于加固设计工作年限的规定，与现行国家标准的有关规定相符。对于采用高延性混凝土加固，当设计计算及构造符合本规范规定时，可按照业主要求的年限。高延性混凝土耐久性能经检验高于普通混凝土，在加固设计工作年限上不低于国家相关规范对普通混凝土的要求。</w:t>
      </w:r>
    </w:p>
    <w:p w14:paraId="4A2BBCAB">
      <w:pPr>
        <w:pStyle w:val="4"/>
      </w:pPr>
      <w:r>
        <w:rPr>
          <w:rFonts w:hint="eastAsia"/>
          <w:b/>
        </w:rPr>
        <w:t>3.0.4</w:t>
      </w:r>
      <w:r>
        <w:rPr>
          <w:rFonts w:hint="eastAsia"/>
        </w:rPr>
        <w:t xml:space="preserve">  被加固的结构、构件，其加固前的服役时间各不相同，其加固后的结构使用功能又可能有所改变，因此不能直接沿用原设计的安全等级工作年限作为加固后的安全等级工作年限，而应根据业主方对该结构下一目标使用期的要求，以及该房屋加固后的用途和重要性重新进行定位，一般由业主方与设计单位共同商定。</w:t>
      </w:r>
    </w:p>
    <w:p w14:paraId="0AF1C630">
      <w:pPr>
        <w:pStyle w:val="4"/>
      </w:pPr>
      <w:r>
        <w:rPr>
          <w:rFonts w:hint="eastAsia"/>
        </w:rPr>
        <w:t>结构的加固设计，应以业主方提供的结构用途、使用条件和使用环境为依据进行的，倘若加固后任意改变其用途、使用条件或使用环境，将显著影响结构加固部分的安全性及耐久性。因此，改变前必须经技术鉴定或设计许可，否则其后果将很严重。</w:t>
      </w:r>
    </w:p>
    <w:p w14:paraId="784CDFA6">
      <w:pPr>
        <w:pStyle w:val="4"/>
      </w:pPr>
      <w:r>
        <w:rPr>
          <w:rFonts w:hint="eastAsia"/>
          <w:b/>
        </w:rPr>
        <w:t>3.0.5</w:t>
      </w:r>
      <w:r>
        <w:rPr>
          <w:rFonts w:hint="eastAsia"/>
        </w:rPr>
        <w:t xml:space="preserve">  浙江省地处中国东南沿海长江三角洲南翼，地质情况比较复杂，软土地基、岩溶地质等复杂地基较为普遍，当加固后使结构质量增大时，有可能造成建筑物的沉降问题。因此，当加固后使结构质量增大时，有必要对建筑物地基基础进行验算。</w:t>
      </w:r>
    </w:p>
    <w:p w14:paraId="382CD6B2">
      <w:pPr>
        <w:pStyle w:val="4"/>
      </w:pPr>
      <w:r>
        <w:rPr>
          <w:rFonts w:hint="eastAsia"/>
          <w:b/>
        </w:rPr>
        <w:t>3.0.10</w:t>
      </w:r>
      <w:r>
        <w:rPr>
          <w:rFonts w:hint="eastAsia"/>
        </w:rPr>
        <w:t xml:space="preserve">  考虑到高温下可能导致高延性混凝土的延性降低，本条给出高延性混凝土适用的环境温度不宜超过90°C。</w:t>
      </w:r>
    </w:p>
    <w:p w14:paraId="2B353A04">
      <w:pPr>
        <w:ind w:firstLine="420"/>
        <w:rPr>
          <w:snapToGrid w:val="0"/>
        </w:rPr>
      </w:pPr>
      <w:r>
        <w:rPr>
          <w:rFonts w:hint="eastAsia"/>
          <w:snapToGrid w:val="0"/>
        </w:rPr>
        <w:t>本编制组前期对高延性混凝土的耐高温性能做了相应的试验研究，其在高温下的强度变化与普通混凝土或普通砂浆等水泥基材料的强度变化情况相似。混凝土在高温下有可能产生爆裂，但由于高延性混凝土中含有纤维，在高温作用下纤维会溶解形成水蒸气的迁移通道，使构件中蒸汽压得到释放，避免了基体的爆裂。</w:t>
      </w:r>
    </w:p>
    <w:p w14:paraId="33FF6CA4">
      <w:pPr>
        <w:ind w:firstLine="420"/>
        <w:rPr>
          <w:snapToGrid w:val="0"/>
        </w:rPr>
      </w:pPr>
      <w:r>
        <w:rPr>
          <w:rFonts w:hint="eastAsia"/>
          <w:snapToGrid w:val="0"/>
        </w:rPr>
        <w:t>高延性混凝土耐高温试验结果显示，在125°C时，高延性混凝土的各项性能指标基本不受影响，本规程保守起见将其使用环境温度规定为不宜超过90°C。</w:t>
      </w:r>
    </w:p>
    <w:p w14:paraId="68F7AA77">
      <w:pPr>
        <w:ind w:firstLine="420"/>
        <w:rPr>
          <w:snapToGrid w:val="0"/>
        </w:rPr>
      </w:pPr>
      <w:r>
        <w:rPr>
          <w:rFonts w:hint="eastAsia"/>
          <w:snapToGrid w:val="0"/>
        </w:rPr>
        <w:t>另外，采用高延性混凝土的工程遇火灾后，需要通过检测鉴定评定其安全状况是否仍满足要求，当有问题时应采取相应的加固或修复处理措施。</w:t>
      </w:r>
    </w:p>
    <w:p w14:paraId="00537DBD">
      <w:pPr>
        <w:pStyle w:val="10"/>
        <w:spacing w:after="312"/>
        <w:ind w:firstLine="480"/>
      </w:pPr>
    </w:p>
    <w:p w14:paraId="1E0B5B5B">
      <w:pPr>
        <w:widowControl/>
        <w:spacing w:after="156"/>
        <w:ind w:firstLine="803"/>
        <w:jc w:val="left"/>
        <w:rPr>
          <w:rFonts w:eastAsia="宋体" w:cs="Times New Roman"/>
          <w:b/>
          <w:snapToGrid w:val="0"/>
          <w:kern w:val="0"/>
          <w:sz w:val="40"/>
        </w:rPr>
      </w:pPr>
      <w:r>
        <w:rPr>
          <w:rFonts w:eastAsia="宋体" w:cs="Times New Roman"/>
          <w:b/>
          <w:snapToGrid w:val="0"/>
          <w:kern w:val="0"/>
          <w:sz w:val="40"/>
        </w:rPr>
        <w:br w:type="page"/>
      </w:r>
    </w:p>
    <w:p w14:paraId="3487F0ED">
      <w:pPr>
        <w:pStyle w:val="2"/>
        <w:spacing w:after="312"/>
        <w:rPr>
          <w:snapToGrid w:val="0"/>
        </w:rPr>
      </w:pPr>
      <w:bookmarkStart w:id="1245" w:name="_Toc21958"/>
      <w:bookmarkStart w:id="1246" w:name="_Toc7008"/>
      <w:bookmarkStart w:id="1247" w:name="_Toc207111756"/>
      <w:bookmarkStart w:id="1248" w:name="_Toc3660"/>
      <w:bookmarkStart w:id="1249" w:name="_Toc15698"/>
      <w:bookmarkStart w:id="1250" w:name="_Toc17278195"/>
      <w:bookmarkStart w:id="1251" w:name="_Toc17131180"/>
      <w:bookmarkStart w:id="1252" w:name="_Toc79615731"/>
      <w:bookmarkStart w:id="1253" w:name="_Toc13492"/>
      <w:bookmarkStart w:id="1254" w:name="_Toc1066"/>
      <w:bookmarkStart w:id="1255" w:name="_Toc54112664"/>
      <w:bookmarkStart w:id="1256" w:name="_Toc47114684"/>
      <w:bookmarkStart w:id="1257" w:name="_Toc60835851"/>
      <w:bookmarkStart w:id="1258" w:name="_Toc54368879"/>
      <w:bookmarkStart w:id="1259" w:name="_Toc18600696"/>
      <w:bookmarkStart w:id="1260" w:name="_Toc17276449"/>
      <w:bookmarkStart w:id="1261" w:name="_Toc54024104"/>
      <w:bookmarkStart w:id="1262" w:name="_Toc32244"/>
      <w:r>
        <w:rPr>
          <w:rFonts w:hint="eastAsia"/>
          <w:snapToGrid w:val="0"/>
        </w:rPr>
        <w:t xml:space="preserve">4  </w:t>
      </w:r>
      <w:bookmarkEnd w:id="1245"/>
      <w:r>
        <w:rPr>
          <w:rFonts w:hint="eastAsia"/>
          <w:snapToGrid w:val="0"/>
        </w:rPr>
        <w:t>材料</w:t>
      </w:r>
      <w:bookmarkEnd w:id="1246"/>
      <w:bookmarkEnd w:id="1247"/>
      <w:bookmarkEnd w:id="1248"/>
      <w:bookmarkEnd w:id="1249"/>
    </w:p>
    <w:p w14:paraId="5020B40A">
      <w:pPr>
        <w:pStyle w:val="3"/>
        <w:rPr>
          <w:sz w:val="40"/>
        </w:rPr>
      </w:pPr>
      <w:bookmarkStart w:id="1263" w:name="_Toc9726"/>
      <w:bookmarkStart w:id="1264" w:name="_Toc9333"/>
      <w:bookmarkStart w:id="1265" w:name="_Toc24096"/>
      <w:bookmarkStart w:id="1266" w:name="_Toc207111757"/>
      <w:bookmarkStart w:id="1267" w:name="_Toc26909"/>
      <w:r>
        <w:t>4.1  原材料</w:t>
      </w:r>
      <w:bookmarkEnd w:id="1263"/>
      <w:bookmarkEnd w:id="1264"/>
      <w:bookmarkEnd w:id="1265"/>
      <w:bookmarkEnd w:id="1266"/>
      <w:bookmarkEnd w:id="1267"/>
    </w:p>
    <w:p w14:paraId="11A7B0BD">
      <w:pPr>
        <w:pStyle w:val="4"/>
      </w:pPr>
      <w:r>
        <w:rPr>
          <w:rFonts w:hint="eastAsia"/>
          <w:b/>
        </w:rPr>
        <w:t>4.1.1</w:t>
      </w:r>
      <w:r>
        <w:rPr>
          <w:rFonts w:hint="eastAsia"/>
        </w:rPr>
        <w:t xml:space="preserve">  纤维的耐碱性能用来衡量合成纤维在碱性介质内纤维强度的稳定性，而极限拉力保持率是评价耐碱性能的主要参数。极限拉力保持率是指合成纤维在氢氧化钠碱溶液中，以规定的温度、浓度和时间浸泡处理，然后测试其断裂强度，与原试样的断裂强度之比的百分率。</w:t>
      </w:r>
    </w:p>
    <w:p w14:paraId="6933F29D">
      <w:pPr>
        <w:pStyle w:val="3"/>
      </w:pPr>
      <w:bookmarkStart w:id="1268" w:name="_Toc13159"/>
      <w:bookmarkStart w:id="1269" w:name="_Toc19570"/>
      <w:bookmarkStart w:id="1270" w:name="_Toc207111758"/>
      <w:bookmarkStart w:id="1271" w:name="_Toc22611"/>
      <w:bookmarkStart w:id="1272" w:name="_Toc22768"/>
      <w:r>
        <w:rPr>
          <w:rFonts w:hint="eastAsia"/>
        </w:rPr>
        <w:t xml:space="preserve">4.2  </w:t>
      </w:r>
      <w:r>
        <w:rPr>
          <w:rFonts w:hint="eastAsia"/>
          <w:bCs/>
        </w:rPr>
        <w:t>拌合物性能</w:t>
      </w:r>
      <w:bookmarkEnd w:id="1268"/>
      <w:bookmarkEnd w:id="1269"/>
      <w:bookmarkEnd w:id="1270"/>
      <w:bookmarkEnd w:id="1271"/>
      <w:bookmarkEnd w:id="1272"/>
    </w:p>
    <w:p w14:paraId="08EF5478">
      <w:pPr>
        <w:pStyle w:val="4"/>
      </w:pPr>
      <w:r>
        <w:rPr>
          <w:rFonts w:hint="eastAsia"/>
          <w:b/>
        </w:rPr>
        <w:t>4.2.1</w:t>
      </w:r>
      <w:r>
        <w:rPr>
          <w:rFonts w:hint="eastAsia"/>
        </w:rPr>
        <w:t xml:space="preserve">  为了保证高延性混凝土的施工质量，在施工过程中应严格控制材料配合比，不得随意添加任何其他材料，由于掺水量的多少对高延性混凝土性能的影响尤为严重，因此要严格控制用水量。</w:t>
      </w:r>
    </w:p>
    <w:p w14:paraId="6452A8C0">
      <w:pPr>
        <w:pStyle w:val="4"/>
      </w:pPr>
      <w:r>
        <w:rPr>
          <w:rFonts w:hint="eastAsia"/>
          <w:b/>
        </w:rPr>
        <w:t>4.2.3</w:t>
      </w:r>
      <w:r>
        <w:rPr>
          <w:rFonts w:hint="eastAsia"/>
        </w:rPr>
        <w:t xml:space="preserve">  高延性混凝土材料中不含粗骨料，其拌合物性能类似于砂浆，目前，高延性混凝土加固砖砌体构件主要采用人工抹压的施工方式，因此本条以《建筑砂浆基本性能试验方法标准》规定了材料的稠度要求。</w:t>
      </w:r>
    </w:p>
    <w:bookmarkEnd w:id="1250"/>
    <w:bookmarkEnd w:id="1251"/>
    <w:bookmarkEnd w:id="1252"/>
    <w:bookmarkEnd w:id="1253"/>
    <w:bookmarkEnd w:id="1254"/>
    <w:bookmarkEnd w:id="1255"/>
    <w:bookmarkEnd w:id="1256"/>
    <w:bookmarkEnd w:id="1257"/>
    <w:bookmarkEnd w:id="1258"/>
    <w:bookmarkEnd w:id="1259"/>
    <w:bookmarkEnd w:id="1260"/>
    <w:bookmarkEnd w:id="1261"/>
    <w:bookmarkEnd w:id="1262"/>
    <w:p w14:paraId="5220CBEE">
      <w:pPr>
        <w:pStyle w:val="3"/>
      </w:pPr>
      <w:bookmarkStart w:id="1273" w:name="_Toc207111759"/>
      <w:bookmarkStart w:id="1274" w:name="_Toc12451"/>
      <w:bookmarkStart w:id="1275" w:name="_Toc79615733"/>
      <w:bookmarkStart w:id="1276" w:name="_Toc1976"/>
      <w:bookmarkStart w:id="1277" w:name="_Toc47114686"/>
      <w:bookmarkStart w:id="1278" w:name="_Toc17276451"/>
      <w:bookmarkStart w:id="1279" w:name="_Toc11728"/>
      <w:bookmarkStart w:id="1280" w:name="_Toc17278197"/>
      <w:bookmarkStart w:id="1281" w:name="_Toc9656"/>
      <w:bookmarkStart w:id="1282" w:name="_Toc54112666"/>
      <w:bookmarkStart w:id="1283" w:name="_Toc18600698"/>
      <w:bookmarkStart w:id="1284" w:name="_Toc29572"/>
      <w:bookmarkStart w:id="1285" w:name="_Toc17131182"/>
      <w:bookmarkStart w:id="1286" w:name="_Toc20982"/>
      <w:bookmarkStart w:id="1287" w:name="_Toc60835853"/>
      <w:bookmarkStart w:id="1288" w:name="_Toc54024106"/>
      <w:bookmarkStart w:id="1289" w:name="_Toc54368881"/>
      <w:bookmarkStart w:id="1290" w:name="_Toc28172"/>
      <w:r>
        <w:rPr>
          <w:rFonts w:hint="eastAsia"/>
        </w:rPr>
        <w:t xml:space="preserve">4.3  </w:t>
      </w:r>
      <w:r>
        <w:rPr>
          <w:rFonts w:hint="eastAsia"/>
          <w:bCs/>
        </w:rPr>
        <w:t>力学性能</w:t>
      </w:r>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p>
    <w:p w14:paraId="4F3C3ECE">
      <w:pPr>
        <w:pStyle w:val="4"/>
      </w:pPr>
      <w:r>
        <w:rPr>
          <w:b/>
        </w:rPr>
        <w:t xml:space="preserve">4.3.1 </w:t>
      </w:r>
      <w:r>
        <w:t xml:space="preserve"> 本条给出了高延性混凝土四个主要力学性能指标，作为高延性混凝土力学性能检验的重要依据。其中等效弯曲韧性和等效弯曲强度为韧性评价指标，抗折强度和立方体抗压强度为强度评价指标。</w:t>
      </w:r>
    </w:p>
    <w:p w14:paraId="55423A67">
      <w:pPr>
        <w:pStyle w:val="4"/>
      </w:pPr>
      <w:r>
        <w:rPr>
          <w:b/>
        </w:rPr>
        <w:t>4.</w:t>
      </w:r>
      <w:r>
        <w:rPr>
          <w:rFonts w:hint="eastAsia"/>
          <w:b/>
        </w:rPr>
        <w:t>3.3</w:t>
      </w:r>
      <w:r>
        <w:t xml:space="preserve">  高延性混凝土的轴心抗压强度标准值</w:t>
      </w:r>
      <w:r>
        <w:object>
          <v:shape id="_x0000_i1268" o:spt="75" type="#_x0000_t75" style="height:19.9pt;width:19.35pt;" o:ole="t" filled="f" o:preferrelative="t" stroked="f" coordsize="21600,21600">
            <v:path/>
            <v:fill on="f" focussize="0,0"/>
            <v:stroke on="f" joinstyle="miter"/>
            <v:imagedata r:id="rId525" o:title=""/>
            <o:lock v:ext="edit" aspectratio="t"/>
            <w10:wrap type="none"/>
            <w10:anchorlock/>
          </v:shape>
          <o:OLEObject Type="Embed" ProgID="Equation.DSMT4" ShapeID="_x0000_i1268" DrawAspect="Content" ObjectID="_1468075966" r:id="rId524">
            <o:LockedField>false</o:LockedField>
          </o:OLEObject>
        </w:object>
      </w:r>
      <w:r>
        <w:t>可按下式计算：</w:t>
      </w:r>
    </w:p>
    <w:p w14:paraId="68C76BE4">
      <w:pPr>
        <w:wordWrap w:val="0"/>
        <w:spacing w:after="312" w:line="312" w:lineRule="auto"/>
        <w:ind w:firstLine="420"/>
        <w:jc w:val="right"/>
      </w:pPr>
      <w:r>
        <w:rPr>
          <w:position w:val="-12"/>
        </w:rPr>
        <w:object>
          <v:shape id="_x0000_i1269" o:spt="75" type="#_x0000_t75" style="height:23.65pt;width:115.5pt;" o:ole="t" filled="f" o:preferrelative="t" stroked="f" coordsize="21600,21600">
            <v:path/>
            <v:fill on="f" focussize="0,0"/>
            <v:stroke on="f" joinstyle="miter"/>
            <v:imagedata r:id="rId527" o:title=""/>
            <o:lock v:ext="edit" aspectratio="t"/>
            <w10:wrap type="none"/>
            <w10:anchorlock/>
          </v:shape>
          <o:OLEObject Type="Embed" ProgID="Equation.DSMT4" ShapeID="_x0000_i1269" DrawAspect="Content" ObjectID="_1468075967" r:id="rId526">
            <o:LockedField>false</o:LockedField>
          </o:OLEObject>
        </w:object>
      </w:r>
      <w:r>
        <w:rPr>
          <w:rFonts w:hint="eastAsia"/>
        </w:rPr>
        <w:t xml:space="preserve">                     </w:t>
      </w:r>
      <w:r>
        <w:rPr>
          <w:rFonts w:cs="Times New Roman"/>
          <w:sz w:val="28"/>
          <w:szCs w:val="28"/>
        </w:rPr>
        <w:t>（1）</w:t>
      </w:r>
      <w:r>
        <w:fldChar w:fldCharType="begin"/>
      </w:r>
      <w:r>
        <w:instrText xml:space="preserve"> QUOTE </w:instrText>
      </w:r>
      <m:oMath>
        <m:r>
          <m:rPr>
            <m:sty m:val="p"/>
          </m:rPr>
          <w:rPr>
            <w:rFonts w:ascii="Cambria Math"/>
            <w:position w:val="-6"/>
          </w:rPr>
          <w:object>
            <v:shape id="_x0000_i1270" o:spt="75" type="#_x0000_t75" style="height:22.55pt;width:94.55pt;" o:ole="t" filled="f" o:preferrelative="t" stroked="f" coordsize="21600,21600">
              <v:path/>
              <v:fill on="f" focussize="0,0"/>
              <v:stroke on="f" joinstyle="miter"/>
              <v:imagedata r:id="rId529" o:title=""/>
              <o:lock v:ext="edit" aspectratio="t"/>
              <w10:wrap type="none"/>
              <w10:anchorlock/>
            </v:shape>
            <o:OLEObject Type="Embed" ProgID="Equation.DSMT4" ShapeID="_x0000_i1270" DrawAspect="Content" ObjectID="_1468075968" r:id="rId528">
              <o:LockedField>false</o:LockedField>
            </o:OLEObject>
          </w:object>
        </m:r>
      </m:oMath>
      <w:r>
        <w:instrText xml:space="preserve">  \* MERGEFORMAT </w:instrText>
      </w:r>
      <w:r>
        <w:fldChar w:fldCharType="end"/>
      </w:r>
    </w:p>
    <w:p w14:paraId="4582E7F0">
      <w:pPr>
        <w:ind w:firstLine="420"/>
      </w:pPr>
      <w:r>
        <w:t>式中：</w:t>
      </w:r>
    </w:p>
    <w:p w14:paraId="4A08C16C">
      <w:pPr>
        <w:ind w:firstLine="420"/>
      </w:pPr>
      <w:r>
        <w:t>0.88——考虑到结构中混凝土强度与试件混凝土强度之间的差异而采取的修正系数；</w:t>
      </w:r>
    </w:p>
    <w:p w14:paraId="4CF120E7">
      <w:pPr>
        <w:ind w:firstLine="420"/>
      </w:pPr>
      <w:r>
        <w:rPr>
          <w:position w:val="-12"/>
        </w:rPr>
        <w:object>
          <v:shape id="_x0000_i1271" o:spt="75" type="#_x0000_t75" style="height:16.65pt;width:16.65pt;" o:ole="t" filled="f" o:preferrelative="t" stroked="f" coordsize="21600,21600">
            <v:path/>
            <v:fill on="f" focussize="0,0"/>
            <v:stroke on="f" joinstyle="miter"/>
            <v:imagedata r:id="rId531" o:title=""/>
            <o:lock v:ext="edit" aspectratio="t"/>
            <w10:wrap type="none"/>
            <w10:anchorlock/>
          </v:shape>
          <o:OLEObject Type="Embed" ProgID="Equation.DSMT4" ShapeID="_x0000_i1271" DrawAspect="Content" ObjectID="_1468075969" r:id="rId530">
            <o:LockedField>false</o:LockedField>
          </o:OLEObject>
        </w:object>
      </w:r>
      <w:r>
        <w:t>——棱柱体抗压强度与立方体抗压强度的比值，可取0.88；</w:t>
      </w:r>
    </w:p>
    <w:p w14:paraId="5988217F">
      <w:pPr>
        <w:ind w:firstLine="420"/>
      </w:pPr>
      <w:r>
        <w:rPr>
          <w:position w:val="-14"/>
        </w:rPr>
        <w:object>
          <v:shape id="_x0000_i1272" o:spt="75" type="#_x0000_t75" style="height:19.9pt;width:20.95pt;" o:ole="t" filled="f" o:preferrelative="t" stroked="f" coordsize="21600,21600">
            <v:path/>
            <v:fill on="f" focussize="0,0"/>
            <v:stroke on="f" joinstyle="miter"/>
            <v:imagedata r:id="rId533" o:title=""/>
            <o:lock v:ext="edit" aspectratio="t"/>
            <w10:wrap type="none"/>
            <w10:anchorlock/>
          </v:shape>
          <o:OLEObject Type="Embed" ProgID="Equation.DSMT4" ShapeID="_x0000_i1272" DrawAspect="Content" ObjectID="_1468075970" r:id="rId532">
            <o:LockedField>false</o:LockedField>
          </o:OLEObject>
        </w:object>
      </w:r>
      <w:r>
        <w:t>——高延性混凝土立方体抗压强度标准值。</w:t>
      </w:r>
    </w:p>
    <w:p w14:paraId="5679EE56">
      <w:pPr>
        <w:ind w:firstLine="420"/>
      </w:pPr>
      <w:r>
        <w:t>上式参考了现行国家标准《混凝土结构设计规范》GB 50010对混凝土轴心抗压强度标准值的取值规定。由于高延性混凝土轴心受压破坏时表现出良好的抗压韧性和耐损伤能力，与传统混凝土的脆性破坏有明显区别，因此不再考虑高延性混凝土的脆性折减系数。且大量研究表明，由于纤维桥联作用对高延性混凝土单轴受压提供的横向约束作用，使高延性混凝土的轴心抗压强度明显高于相同强度等级的普通混凝土。根据大量试验数据分析结果，高延性混凝土棱柱体抗压强度与立方体抗压强度的比值</w:t>
      </w:r>
      <w:r>
        <w:rPr>
          <w:position w:val="-10"/>
        </w:rPr>
        <w:object>
          <v:shape id="_x0000_i1273" o:spt="75" type="#_x0000_t75" style="height:15.05pt;width:15.05pt;" o:ole="t" filled="f" o:preferrelative="t" stroked="f" coordsize="21600,21600">
            <v:path/>
            <v:fill on="f" focussize="0,0"/>
            <v:stroke on="f" joinstyle="miter"/>
            <v:imagedata r:id="rId535" o:title=""/>
            <o:lock v:ext="edit" aspectratio="t"/>
            <w10:wrap type="none"/>
            <w10:anchorlock/>
          </v:shape>
          <o:OLEObject Type="Embed" ProgID="Equation.DSMT4" ShapeID="_x0000_i1273" DrawAspect="Content" ObjectID="_1468075971" r:id="rId534">
            <o:LockedField>false</o:LockedField>
          </o:OLEObject>
        </w:object>
      </w:r>
      <w:r>
        <w:t>为0.88~0.95，可偏于安全取0.88。</w:t>
      </w:r>
    </w:p>
    <w:p w14:paraId="1EB933FC">
      <w:pPr>
        <w:ind w:firstLine="420"/>
      </w:pPr>
      <w:r>
        <w:t>根据高延性混凝土轴心抗压强度标准值，并</w:t>
      </w:r>
      <w:r>
        <w:rPr>
          <w:rFonts w:hint="eastAsia"/>
        </w:rPr>
        <w:t>参考</w:t>
      </w:r>
      <w:r>
        <w:t>现行国家标准《混凝土结构设计规范》GB 50010中混凝土的抗压强度设计值计算方法确定高延性混凝土轴心抗压强度设计值</w:t>
      </w:r>
      <w:r>
        <w:rPr>
          <w:position w:val="-10"/>
        </w:rPr>
        <w:object>
          <v:shape id="_x0000_i1274" o:spt="75" type="#_x0000_t75" style="height:15.05pt;width:10.75pt;" o:ole="t" filled="f" o:preferrelative="t" stroked="f" coordsize="21600,21600">
            <v:path/>
            <v:fill on="f" focussize="0,0"/>
            <v:stroke on="f" joinstyle="miter"/>
            <v:imagedata r:id="rId537" o:title=""/>
            <o:lock v:ext="edit" aspectratio="t"/>
            <w10:wrap type="none"/>
            <w10:anchorlock/>
          </v:shape>
          <o:OLEObject Type="Embed" ProgID="Equation.DSMT4" ShapeID="_x0000_i1274" DrawAspect="Content" ObjectID="_1468075972" r:id="rId536">
            <o:LockedField>false</o:LockedField>
          </o:OLEObject>
        </w:object>
      </w:r>
      <w:r>
        <w:t>=27.6N/mm</w:t>
      </w:r>
      <w:r>
        <w:rPr>
          <w:vertAlign w:val="superscript"/>
        </w:rPr>
        <w:t>2</w:t>
      </w:r>
      <w:r>
        <w:t>。根据高延性混凝土轴心抗拉强度标准值，并参照现行国家标准《混凝土结构设计规范》GB 50010中混凝土的抗拉强度设计值计算方法确定高延性混凝土轴心抗拉强度设计值</w:t>
      </w:r>
      <w:r>
        <w:rPr>
          <w:position w:val="-10"/>
        </w:rPr>
        <w:object>
          <v:shape id="_x0000_i1275" o:spt="75" type="#_x0000_t75" style="height:15.05pt;width:13.45pt;" o:ole="t" filled="f" o:preferrelative="t" stroked="f" coordsize="21600,21600">
            <v:path/>
            <v:fill on="f" focussize="0,0"/>
            <v:stroke on="f" joinstyle="miter"/>
            <v:imagedata r:id="rId46" o:title=""/>
            <o:lock v:ext="edit" aspectratio="t"/>
            <w10:wrap type="none"/>
            <w10:anchorlock/>
          </v:shape>
          <o:OLEObject Type="Embed" ProgID="Equation.DSMT4" ShapeID="_x0000_i1275" DrawAspect="Content" ObjectID="_1468075973" r:id="rId538">
            <o:LockedField>false</o:LockedField>
          </o:OLEObject>
        </w:object>
      </w:r>
      <w:r>
        <w:t>=3.8 N/mm</w:t>
      </w:r>
      <w:r>
        <w:rPr>
          <w:vertAlign w:val="superscript"/>
        </w:rPr>
        <w:t>2</w:t>
      </w:r>
      <w:r>
        <w:t>。</w:t>
      </w:r>
    </w:p>
    <w:p w14:paraId="420BFCC0">
      <w:pPr>
        <w:pStyle w:val="4"/>
      </w:pPr>
      <w:r>
        <w:rPr>
          <w:b/>
        </w:rPr>
        <w:t>4.3.4</w:t>
      </w:r>
      <w:r>
        <w:t xml:space="preserve">  高延性混凝土的受压和受拉弹性模量与其立方体抗压强度有关，但由于高延性混凝土基体内不含粗骨料，其弹性模量取值与普通混凝土明显不同，本条根据西安建筑科技大学、东南大学、浙江大学等科研院所大量试验结果以及国家建筑工程质量监督检验中心的检验结果，高延性混凝土的弹性模量</w:t>
      </w:r>
      <w:r>
        <w:rPr>
          <w:position w:val="-10"/>
        </w:rPr>
        <w:object>
          <v:shape id="_x0000_i1276" o:spt="75" type="#_x0000_t75" style="height:16.1pt;width:13.45pt;" o:ole="t" filled="f" o:preferrelative="t" stroked="f" coordsize="21600,21600">
            <v:path/>
            <v:fill on="f" focussize="0,0"/>
            <v:stroke on="f" joinstyle="miter"/>
            <v:imagedata r:id="rId540" o:title=""/>
            <o:lock v:ext="edit" aspectratio="t"/>
            <w10:wrap type="none"/>
            <w10:anchorlock/>
          </v:shape>
          <o:OLEObject Type="Embed" ProgID="Equation.DSMT4" ShapeID="_x0000_i1276" DrawAspect="Content" ObjectID="_1468075974" r:id="rId539">
            <o:LockedField>false</o:LockedField>
          </o:OLEObject>
        </w:object>
      </w:r>
      <w:r>
        <w:t>相当于同等强度普通混凝土的2/3左右，本条给出C</w:t>
      </w:r>
      <w:r>
        <w:rPr>
          <w:vertAlign w:val="subscript"/>
        </w:rPr>
        <w:t>d</w:t>
      </w:r>
      <w:r>
        <w:t>50高延性混凝土的弹性模量</w:t>
      </w:r>
      <w:r>
        <w:rPr>
          <w:position w:val="-10"/>
        </w:rPr>
        <w:object>
          <v:shape id="_x0000_i1277" o:spt="75" type="#_x0000_t75" style="height:16.1pt;width:13.45pt;" o:ole="t" filled="f" o:preferrelative="t" stroked="f" coordsize="21600,21600">
            <v:path/>
            <v:fill on="f" focussize="0,0"/>
            <v:stroke on="f" joinstyle="miter"/>
            <v:imagedata r:id="rId540" o:title=""/>
            <o:lock v:ext="edit" aspectratio="t"/>
            <w10:wrap type="none"/>
            <w10:anchorlock/>
          </v:shape>
          <o:OLEObject Type="Embed" ProgID="Equation.DSMT4" ShapeID="_x0000_i1277" DrawAspect="Content" ObjectID="_1468075975" r:id="rId541">
            <o:LockedField>false</o:LockedField>
          </o:OLEObject>
        </w:object>
      </w:r>
      <w:r>
        <w:t>=2.20×10</w:t>
      </w:r>
      <w:r>
        <w:rPr>
          <w:vertAlign w:val="superscript"/>
        </w:rPr>
        <w:t>4</w:t>
      </w:r>
      <w:r>
        <w:t xml:space="preserve"> N/mm</w:t>
      </w:r>
      <w:r>
        <w:rPr>
          <w:vertAlign w:val="superscript"/>
        </w:rPr>
        <w:t>2</w:t>
      </w:r>
      <w:r>
        <w:t>。当有可靠试验依据时，弹性模量可根据实测数据确定。</w:t>
      </w:r>
    </w:p>
    <w:p w14:paraId="60EC200C">
      <w:pPr>
        <w:pStyle w:val="3"/>
      </w:pPr>
      <w:bookmarkStart w:id="1291" w:name="_Toc29205"/>
      <w:bookmarkStart w:id="1292" w:name="_Toc23201"/>
      <w:bookmarkStart w:id="1293" w:name="_Toc79615734"/>
      <w:bookmarkStart w:id="1294" w:name="_Toc207111760"/>
      <w:bookmarkStart w:id="1295" w:name="_Toc25279"/>
      <w:bookmarkStart w:id="1296" w:name="_Toc5476"/>
      <w:bookmarkStart w:id="1297" w:name="_Toc4737"/>
      <w:bookmarkStart w:id="1298" w:name="_Toc4757"/>
      <w:r>
        <w:rPr>
          <w:rFonts w:hint="eastAsia"/>
        </w:rPr>
        <w:t xml:space="preserve">4.4  </w:t>
      </w:r>
      <w:r>
        <w:rPr>
          <w:rFonts w:hint="eastAsia"/>
          <w:bCs/>
        </w:rPr>
        <w:t>耐久性能</w:t>
      </w:r>
      <w:bookmarkEnd w:id="1291"/>
      <w:bookmarkEnd w:id="1292"/>
      <w:bookmarkEnd w:id="1293"/>
      <w:bookmarkEnd w:id="1294"/>
      <w:bookmarkEnd w:id="1295"/>
      <w:bookmarkEnd w:id="1296"/>
      <w:bookmarkEnd w:id="1297"/>
      <w:bookmarkEnd w:id="1298"/>
    </w:p>
    <w:p w14:paraId="5D966571">
      <w:pPr>
        <w:pStyle w:val="4"/>
      </w:pPr>
      <w:r>
        <w:rPr>
          <w:b/>
        </w:rPr>
        <w:t>4.4.1</w:t>
      </w:r>
      <w:r>
        <w:t xml:space="preserve">  高延性混凝土的耐久性能明显高于普通混凝土，本条规定了其主要的耐久性能指标。实际工程中，设计方案中应根据被加固构件所处的环境确定高延性混凝土的耐久性要求。</w:t>
      </w:r>
    </w:p>
    <w:p w14:paraId="6DBE8E45">
      <w:pPr>
        <w:pStyle w:val="4"/>
      </w:pPr>
      <w:r>
        <w:rPr>
          <w:rFonts w:hint="eastAsia"/>
          <w:b/>
        </w:rPr>
        <w:t>4.4.2</w:t>
      </w:r>
      <w:r>
        <w:t xml:space="preserve">  </w:t>
      </w:r>
      <w:r>
        <w:rPr>
          <w:rFonts w:hint="eastAsia"/>
        </w:rPr>
        <w:t>由于</w:t>
      </w:r>
      <w:r>
        <w:t>高延性混凝土的</w:t>
      </w:r>
      <w:r>
        <w:rPr>
          <w:rFonts w:hint="eastAsia"/>
        </w:rPr>
        <w:t>力学性能指标以60d龄期为准，因此为了相互协调，本条规定其</w:t>
      </w:r>
      <w:r>
        <w:t>耐久性能</w:t>
      </w:r>
      <w:r>
        <w:rPr>
          <w:rFonts w:hint="eastAsia"/>
        </w:rPr>
        <w:t>检验也从60d龄期时开始</w:t>
      </w:r>
      <w:r>
        <w:t>。</w:t>
      </w:r>
    </w:p>
    <w:p w14:paraId="4264CE53">
      <w:pPr>
        <w:spacing w:after="156" w:line="450" w:lineRule="exact"/>
        <w:ind w:firstLine="420"/>
        <w:jc w:val="center"/>
        <w:rPr>
          <w:rFonts w:eastAsia="宋体" w:cs="Times New Roman"/>
          <w:b/>
          <w:snapToGrid w:val="0"/>
          <w:kern w:val="0"/>
          <w:sz w:val="40"/>
        </w:rPr>
      </w:pPr>
      <w:r>
        <w:br w:type="page"/>
      </w:r>
    </w:p>
    <w:p w14:paraId="51D235FC">
      <w:pPr>
        <w:pStyle w:val="2"/>
        <w:spacing w:after="312"/>
      </w:pPr>
      <w:bookmarkStart w:id="1299" w:name="_Toc207111761"/>
      <w:bookmarkStart w:id="1300" w:name="_Toc25852"/>
      <w:bookmarkStart w:id="1301" w:name="_Toc28114"/>
      <w:bookmarkStart w:id="1302" w:name="_Toc23390"/>
      <w:bookmarkStart w:id="1303" w:name="_Toc2251"/>
      <w:r>
        <w:rPr>
          <w:rStyle w:val="54"/>
          <w:rFonts w:hint="eastAsia"/>
          <w:b/>
          <w:bCs/>
        </w:rPr>
        <w:t>5  砌体构件加固设</w:t>
      </w:r>
      <w:r>
        <w:rPr>
          <w:rFonts w:hint="eastAsia"/>
        </w:rPr>
        <w:t>计</w:t>
      </w:r>
      <w:bookmarkEnd w:id="1299"/>
      <w:bookmarkEnd w:id="1300"/>
      <w:bookmarkEnd w:id="1301"/>
      <w:bookmarkEnd w:id="1302"/>
      <w:bookmarkEnd w:id="1303"/>
    </w:p>
    <w:p w14:paraId="7D3AE821">
      <w:pPr>
        <w:pStyle w:val="3"/>
        <w:rPr>
          <w:sz w:val="40"/>
        </w:rPr>
      </w:pPr>
      <w:bookmarkStart w:id="1304" w:name="_Toc14052"/>
      <w:bookmarkStart w:id="1305" w:name="_Toc3210"/>
      <w:bookmarkStart w:id="1306" w:name="_Toc7354"/>
      <w:bookmarkStart w:id="1307" w:name="_Toc207111762"/>
      <w:bookmarkStart w:id="1308" w:name="_Toc29730"/>
      <w:r>
        <w:t>5.1  一般规定</w:t>
      </w:r>
      <w:bookmarkEnd w:id="1304"/>
      <w:bookmarkEnd w:id="1305"/>
      <w:bookmarkEnd w:id="1306"/>
      <w:bookmarkEnd w:id="1307"/>
      <w:bookmarkEnd w:id="1308"/>
    </w:p>
    <w:p w14:paraId="57E833E5">
      <w:pPr>
        <w:pStyle w:val="4"/>
      </w:pPr>
      <w:r>
        <w:rPr>
          <w:rFonts w:hint="eastAsia"/>
          <w:b/>
          <w:iCs/>
        </w:rPr>
        <w:t xml:space="preserve">5.1.2  </w:t>
      </w:r>
      <w:r>
        <w:rPr>
          <w:rFonts w:hint="eastAsia"/>
        </w:rPr>
        <w:t>高延性混凝土的分类主要是从构造和抗震耗能的角度考虑，根据等效弯曲韧性和等效弯曲强度的不同来划分，对不同的抗震要求的砖砌体结构，采用不同类型的高延性混凝土，在保证结构构件承载力和耗能能力的前提下可以取得较好的经济效果。</w:t>
      </w:r>
    </w:p>
    <w:p w14:paraId="021BC66A">
      <w:pPr>
        <w:pStyle w:val="3"/>
      </w:pPr>
      <w:bookmarkStart w:id="1309" w:name="_Toc207111763"/>
      <w:bookmarkStart w:id="1310" w:name="_Toc11435"/>
      <w:bookmarkStart w:id="1311" w:name="_Toc4692"/>
      <w:bookmarkStart w:id="1312" w:name="_Toc18005"/>
      <w:bookmarkStart w:id="1313" w:name="_Toc7696"/>
      <w:r>
        <w:rPr>
          <w:rFonts w:hint="eastAsia"/>
        </w:rPr>
        <w:t>5.2  砌体抗压加固</w:t>
      </w:r>
      <w:bookmarkEnd w:id="1309"/>
      <w:bookmarkEnd w:id="1310"/>
      <w:bookmarkEnd w:id="1311"/>
      <w:bookmarkEnd w:id="1312"/>
      <w:bookmarkEnd w:id="1313"/>
    </w:p>
    <w:p w14:paraId="7E978B66">
      <w:pPr>
        <w:pStyle w:val="4"/>
        <w:rPr>
          <w:highlight w:val="yellow"/>
        </w:rPr>
      </w:pPr>
      <w:bookmarkStart w:id="1314" w:name="_Toc17131191"/>
      <w:bookmarkStart w:id="1315" w:name="_Toc18600707"/>
      <w:bookmarkStart w:id="1316" w:name="_Toc17276460"/>
      <w:bookmarkStart w:id="1317" w:name="_Toc17278206"/>
      <w:r>
        <w:rPr>
          <w:b/>
          <w:iCs/>
        </w:rPr>
        <w:t>5.2.1</w:t>
      </w:r>
      <w:r>
        <w:rPr>
          <w:rFonts w:hint="eastAsia"/>
          <w:b/>
        </w:rPr>
        <w:t>、</w:t>
      </w:r>
      <w:r>
        <w:rPr>
          <w:b/>
          <w:iCs/>
        </w:rPr>
        <w:t>5.2.2</w:t>
      </w:r>
      <w:r>
        <w:t xml:space="preserve">  </w:t>
      </w:r>
      <w:r>
        <w:rPr>
          <w:rFonts w:hint="eastAsia"/>
        </w:rPr>
        <w:t>对受压加固，在满足构造要求情况下，外加高延性混凝土面层加固后的构件可看成砌体与高延性混凝土面层的组合砌体构件。因此，可利用现行国家标准《砌体构件设计规范》GB 50003中组合砌体构件轴心受压构件承载力计算公式推出加固后构件轴心受压计算公式。考虑到高延性混凝土的极限压应变约为0.006，砌体极限压应变约为0.002，在极限荷载作用下，高延性混凝土实际发挥的强度小于其极限抗压强度。根据试验结果，在无初始荷载作用时，采用高延性混凝土面层双面加固砖砌体墙体，高延性混凝土的“实际强度”与其极限抗压强度的比值在0.274~0.363之间，采用高延性混凝土面层单面加固砖砌体墙体，该比值在0.397~0.491之间。因此，计算加固后构件的承载力引入高延性混凝土强度利用系数</w:t>
      </w:r>
      <w:r>
        <w:rPr>
          <w:rFonts w:hint="eastAsia"/>
        </w:rPr>
        <w:drawing>
          <wp:inline distT="0" distB="0" distL="114300" distR="114300">
            <wp:extent cx="229235" cy="215900"/>
            <wp:effectExtent l="0" t="0" r="0" b="13335"/>
            <wp:docPr id="33"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2"/>
                    <pic:cNvPicPr>
                      <a:picLocks noChangeAspect="1"/>
                    </pic:cNvPicPr>
                  </pic:nvPicPr>
                  <pic:blipFill>
                    <a:blip r:embed="rId542"/>
                    <a:stretch>
                      <a:fillRect/>
                    </a:stretch>
                  </pic:blipFill>
                  <pic:spPr>
                    <a:xfrm>
                      <a:off x="0" y="0"/>
                      <a:ext cx="229235" cy="215900"/>
                    </a:xfrm>
                    <a:prstGeom prst="rect">
                      <a:avLst/>
                    </a:prstGeom>
                    <a:noFill/>
                    <a:ln>
                      <a:noFill/>
                    </a:ln>
                  </pic:spPr>
                </pic:pic>
              </a:graphicData>
            </a:graphic>
          </wp:inline>
        </w:drawing>
      </w:r>
      <w:r>
        <w:rPr>
          <w:rFonts w:hint="eastAsia"/>
        </w:rPr>
        <w:t>。安全起见，无论单面双面，无初始荷载时</w:t>
      </w:r>
      <w:r>
        <w:rPr>
          <w:rFonts w:hint="eastAsia"/>
        </w:rPr>
        <w:drawing>
          <wp:inline distT="0" distB="0" distL="114300" distR="114300">
            <wp:extent cx="229235" cy="215900"/>
            <wp:effectExtent l="0" t="0" r="0" b="13335"/>
            <wp:docPr id="34"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3"/>
                    <pic:cNvPicPr>
                      <a:picLocks noChangeAspect="1"/>
                    </pic:cNvPicPr>
                  </pic:nvPicPr>
                  <pic:blipFill>
                    <a:blip r:embed="rId543"/>
                    <a:stretch>
                      <a:fillRect/>
                    </a:stretch>
                  </pic:blipFill>
                  <pic:spPr>
                    <a:xfrm>
                      <a:off x="0" y="0"/>
                      <a:ext cx="229235" cy="215900"/>
                    </a:xfrm>
                    <a:prstGeom prst="rect">
                      <a:avLst/>
                    </a:prstGeom>
                    <a:noFill/>
                    <a:ln>
                      <a:noFill/>
                    </a:ln>
                  </pic:spPr>
                </pic:pic>
              </a:graphicData>
            </a:graphic>
          </wp:inline>
        </w:drawing>
      </w:r>
      <w:r>
        <w:rPr>
          <w:rFonts w:hint="eastAsia"/>
        </w:rPr>
        <w:t>均取为0.3。目前的试验研究主要集中于粘土砖构件，</w:t>
      </w:r>
    </w:p>
    <w:p w14:paraId="16CBBF6C">
      <w:pPr>
        <w:ind w:firstLine="420"/>
      </w:pPr>
      <w:r>
        <w:t>受压加固时，考虑到加固结构中的原有砌体构件加固前已承受荷载，其应力水平一般都比较高，而加固新增的高延性混凝土面层还不能立即工作，需待新加荷载后才开始受力</w:t>
      </w:r>
      <w:r>
        <w:rPr>
          <w:rFonts w:hint="eastAsia"/>
        </w:rPr>
        <w:t>即</w:t>
      </w:r>
      <w:r>
        <w:t>第二次受力。此时，新增高延性混凝土面层的应变滞后于原砌体的应变，原砌体的应变高于新增高延性混凝土面层的应变。当原砌体达到极限状态时，新增高延性混凝土面层还没达到上述的“实际强度”。因此，引入二次受压影响系数</w:t>
      </w:r>
      <w:r>
        <w:rPr>
          <w:position w:val="-10"/>
        </w:rPr>
        <w:drawing>
          <wp:inline distT="0" distB="0" distL="114300" distR="114300">
            <wp:extent cx="215900" cy="203200"/>
            <wp:effectExtent l="0" t="0" r="12700" b="12065"/>
            <wp:docPr id="35"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4"/>
                    <pic:cNvPicPr>
                      <a:picLocks noChangeAspect="1"/>
                    </pic:cNvPicPr>
                  </pic:nvPicPr>
                  <pic:blipFill>
                    <a:blip r:embed="rId544"/>
                    <a:stretch>
                      <a:fillRect/>
                    </a:stretch>
                  </pic:blipFill>
                  <pic:spPr>
                    <a:xfrm>
                      <a:off x="0" y="0"/>
                      <a:ext cx="215900" cy="203200"/>
                    </a:xfrm>
                    <a:prstGeom prst="rect">
                      <a:avLst/>
                    </a:prstGeom>
                    <a:noFill/>
                    <a:ln>
                      <a:noFill/>
                    </a:ln>
                  </pic:spPr>
                </pic:pic>
              </a:graphicData>
            </a:graphic>
          </wp:inline>
        </w:drawing>
      </w:r>
      <w:r>
        <w:t>，则高延性混凝土强度利用系数</w:t>
      </w:r>
      <w:r>
        <w:rPr>
          <w:position w:val="-10"/>
        </w:rPr>
        <w:drawing>
          <wp:inline distT="0" distB="0" distL="114300" distR="114300">
            <wp:extent cx="749300" cy="203200"/>
            <wp:effectExtent l="0" t="0" r="12700" b="12065"/>
            <wp:docPr id="22"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45"/>
                    <pic:cNvPicPr>
                      <a:picLocks noChangeAspect="1"/>
                    </pic:cNvPicPr>
                  </pic:nvPicPr>
                  <pic:blipFill>
                    <a:blip r:embed="rId545"/>
                    <a:stretch>
                      <a:fillRect/>
                    </a:stretch>
                  </pic:blipFill>
                  <pic:spPr>
                    <a:xfrm>
                      <a:off x="0" y="0"/>
                      <a:ext cx="749300" cy="203200"/>
                    </a:xfrm>
                    <a:prstGeom prst="rect">
                      <a:avLst/>
                    </a:prstGeom>
                    <a:noFill/>
                    <a:ln>
                      <a:noFill/>
                    </a:ln>
                  </pic:spPr>
                </pic:pic>
              </a:graphicData>
            </a:graphic>
          </wp:inline>
        </w:drawing>
      </w:r>
      <w:r>
        <w:t>。将原墙体在重力荷载作用下的平均竖向压应力定义为初始应力，初始应力与砌体抗压强度的比值定义为初始应力比</w:t>
      </w:r>
      <w:r>
        <w:rPr>
          <w:position w:val="-10"/>
        </w:rPr>
        <w:drawing>
          <wp:inline distT="0" distB="0" distL="114300" distR="114300">
            <wp:extent cx="190500" cy="203200"/>
            <wp:effectExtent l="0" t="0" r="0" b="11430"/>
            <wp:docPr id="42"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6"/>
                    <pic:cNvPicPr>
                      <a:picLocks noChangeAspect="1"/>
                    </pic:cNvPicPr>
                  </pic:nvPicPr>
                  <pic:blipFill>
                    <a:blip r:embed="rId546"/>
                    <a:stretch>
                      <a:fillRect/>
                    </a:stretch>
                  </pic:blipFill>
                  <pic:spPr>
                    <a:xfrm>
                      <a:off x="0" y="0"/>
                      <a:ext cx="190500" cy="203200"/>
                    </a:xfrm>
                    <a:prstGeom prst="rect">
                      <a:avLst/>
                    </a:prstGeom>
                    <a:noFill/>
                    <a:ln>
                      <a:noFill/>
                    </a:ln>
                  </pic:spPr>
                </pic:pic>
              </a:graphicData>
            </a:graphic>
          </wp:inline>
        </w:drawing>
      </w:r>
      <w:r>
        <w:t>。因砌体结构离散性较大，确定统一的应力-应变曲线较难，因此，分别选取由B.Powell和H.R.Hodgkinson、朱伯龙、施楚贤三人提出的砌体结构应力应变曲线进行理论分析，得到砖砌体墙的初始应力比</w:t>
      </w:r>
      <w:r>
        <w:rPr>
          <w:position w:val="-10"/>
        </w:rPr>
        <w:drawing>
          <wp:inline distT="0" distB="0" distL="114300" distR="114300">
            <wp:extent cx="190500" cy="203200"/>
            <wp:effectExtent l="0" t="0" r="0" b="11430"/>
            <wp:docPr id="25"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7"/>
                    <pic:cNvPicPr>
                      <a:picLocks noChangeAspect="1"/>
                    </pic:cNvPicPr>
                  </pic:nvPicPr>
                  <pic:blipFill>
                    <a:blip r:embed="rId547"/>
                    <a:stretch>
                      <a:fillRect/>
                    </a:stretch>
                  </pic:blipFill>
                  <pic:spPr>
                    <a:xfrm>
                      <a:off x="0" y="0"/>
                      <a:ext cx="190500" cy="203200"/>
                    </a:xfrm>
                    <a:prstGeom prst="rect">
                      <a:avLst/>
                    </a:prstGeom>
                    <a:noFill/>
                    <a:ln>
                      <a:noFill/>
                    </a:ln>
                  </pic:spPr>
                </pic:pic>
              </a:graphicData>
            </a:graphic>
          </wp:inline>
        </w:drawing>
      </w:r>
      <w:r>
        <w:t>与高延性混凝土强度利用系数</w:t>
      </w:r>
      <w:r>
        <w:rPr>
          <w:position w:val="-10"/>
        </w:rPr>
        <w:drawing>
          <wp:inline distT="0" distB="0" distL="114300" distR="114300">
            <wp:extent cx="177165" cy="203200"/>
            <wp:effectExtent l="0" t="0" r="0" b="12065"/>
            <wp:docPr id="24"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8"/>
                    <pic:cNvPicPr>
                      <a:picLocks noChangeAspect="1"/>
                    </pic:cNvPicPr>
                  </pic:nvPicPr>
                  <pic:blipFill>
                    <a:blip r:embed="rId548"/>
                    <a:stretch>
                      <a:fillRect/>
                    </a:stretch>
                  </pic:blipFill>
                  <pic:spPr>
                    <a:xfrm>
                      <a:off x="0" y="0"/>
                      <a:ext cx="177165" cy="203200"/>
                    </a:xfrm>
                    <a:prstGeom prst="rect">
                      <a:avLst/>
                    </a:prstGeom>
                    <a:noFill/>
                    <a:ln>
                      <a:noFill/>
                    </a:ln>
                  </pic:spPr>
                </pic:pic>
              </a:graphicData>
            </a:graphic>
          </wp:inline>
        </w:drawing>
      </w:r>
      <w:r>
        <w:t>的关系，</w:t>
      </w:r>
      <w:r>
        <w:rPr>
          <w:rFonts w:hint="eastAsia"/>
        </w:rPr>
        <w:t>如</w:t>
      </w:r>
      <w:r>
        <w:t>图</w:t>
      </w:r>
      <w:r>
        <w:rPr>
          <w:rFonts w:hint="eastAsia"/>
        </w:rPr>
        <w:t>5-1所示</w:t>
      </w:r>
      <w:r>
        <w:t>。</w:t>
      </w:r>
    </w:p>
    <w:p w14:paraId="217B43EA">
      <w:pPr>
        <w:spacing w:after="156" w:line="312" w:lineRule="auto"/>
        <w:ind w:firstLine="420"/>
        <w:jc w:val="center"/>
        <w:rPr>
          <w:rFonts w:eastAsia="黑体"/>
          <w:szCs w:val="21"/>
        </w:rPr>
      </w:pPr>
      <w:r>
        <w:drawing>
          <wp:inline distT="0" distB="0" distL="114300" distR="114300">
            <wp:extent cx="5026025" cy="3489960"/>
            <wp:effectExtent l="0" t="0" r="0" b="0"/>
            <wp:docPr id="66" name="图片 6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图片1"/>
                    <pic:cNvPicPr>
                      <a:picLocks noChangeAspect="1"/>
                    </pic:cNvPicPr>
                  </pic:nvPicPr>
                  <pic:blipFill>
                    <a:blip r:embed="rId549"/>
                    <a:stretch>
                      <a:fillRect/>
                    </a:stretch>
                  </pic:blipFill>
                  <pic:spPr>
                    <a:xfrm>
                      <a:off x="0" y="0"/>
                      <a:ext cx="5026025" cy="3489960"/>
                    </a:xfrm>
                    <a:prstGeom prst="rect">
                      <a:avLst/>
                    </a:prstGeom>
                  </pic:spPr>
                </pic:pic>
              </a:graphicData>
            </a:graphic>
          </wp:inline>
        </w:drawing>
      </w:r>
      <w:r>
        <w:rPr>
          <w:rFonts w:eastAsia="黑体"/>
          <w:szCs w:val="21"/>
        </w:rPr>
        <w:t>图5-1 砖砌体墙的初始应力比</w:t>
      </w:r>
      <w:r>
        <w:rPr>
          <w:position w:val="-10"/>
          <w:szCs w:val="21"/>
        </w:rPr>
        <w:drawing>
          <wp:inline distT="0" distB="0" distL="114300" distR="114300">
            <wp:extent cx="190500" cy="203200"/>
            <wp:effectExtent l="0" t="0" r="0" b="11430"/>
            <wp:docPr id="45"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0"/>
                    <pic:cNvPicPr>
                      <a:picLocks noChangeAspect="1"/>
                    </pic:cNvPicPr>
                  </pic:nvPicPr>
                  <pic:blipFill>
                    <a:blip r:embed="rId550"/>
                    <a:stretch>
                      <a:fillRect/>
                    </a:stretch>
                  </pic:blipFill>
                  <pic:spPr>
                    <a:xfrm>
                      <a:off x="0" y="0"/>
                      <a:ext cx="190500" cy="203200"/>
                    </a:xfrm>
                    <a:prstGeom prst="rect">
                      <a:avLst/>
                    </a:prstGeom>
                    <a:noFill/>
                    <a:ln>
                      <a:noFill/>
                    </a:ln>
                  </pic:spPr>
                </pic:pic>
              </a:graphicData>
            </a:graphic>
          </wp:inline>
        </w:drawing>
      </w:r>
      <w:r>
        <w:rPr>
          <w:rFonts w:eastAsia="黑体"/>
          <w:szCs w:val="21"/>
        </w:rPr>
        <w:t>与高延性混凝土强度利用系数</w:t>
      </w:r>
      <w:r>
        <w:rPr>
          <w:position w:val="-10"/>
          <w:szCs w:val="21"/>
        </w:rPr>
        <w:drawing>
          <wp:inline distT="0" distB="0" distL="114300" distR="114300">
            <wp:extent cx="177165" cy="203200"/>
            <wp:effectExtent l="0" t="0" r="0" b="12065"/>
            <wp:docPr id="27"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1"/>
                    <pic:cNvPicPr>
                      <a:picLocks noChangeAspect="1"/>
                    </pic:cNvPicPr>
                  </pic:nvPicPr>
                  <pic:blipFill>
                    <a:blip r:embed="rId551"/>
                    <a:stretch>
                      <a:fillRect/>
                    </a:stretch>
                  </pic:blipFill>
                  <pic:spPr>
                    <a:xfrm>
                      <a:off x="0" y="0"/>
                      <a:ext cx="177165" cy="203200"/>
                    </a:xfrm>
                    <a:prstGeom prst="rect">
                      <a:avLst/>
                    </a:prstGeom>
                    <a:noFill/>
                    <a:ln>
                      <a:noFill/>
                    </a:ln>
                  </pic:spPr>
                </pic:pic>
              </a:graphicData>
            </a:graphic>
          </wp:inline>
        </w:drawing>
      </w:r>
      <w:r>
        <w:rPr>
          <w:rFonts w:eastAsia="黑体"/>
          <w:szCs w:val="21"/>
        </w:rPr>
        <w:t>的关系</w:t>
      </w:r>
    </w:p>
    <w:p w14:paraId="10E92BE5">
      <w:pPr>
        <w:spacing w:after="156" w:line="312" w:lineRule="auto"/>
        <w:ind w:firstLine="420"/>
        <w:jc w:val="center"/>
      </w:pPr>
      <w:r>
        <w:rPr>
          <w:rFonts w:hint="eastAsia" w:cs="Times New Roman"/>
          <w:szCs w:val="21"/>
        </w:rPr>
        <w:t>1-B.powell和H.R.Hodgkinson曲线；2</w:t>
      </w:r>
      <w:r>
        <w:rPr>
          <w:rFonts w:cs="Times New Roman"/>
          <w:szCs w:val="21"/>
        </w:rPr>
        <w:t>-</w:t>
      </w:r>
      <w:r>
        <w:rPr>
          <w:rFonts w:hint="eastAsia" w:cs="Times New Roman"/>
          <w:szCs w:val="21"/>
        </w:rPr>
        <w:t>朱伯龙曲线；3-施楚贤曲线</w:t>
      </w:r>
    </w:p>
    <w:p w14:paraId="5C45B965">
      <w:pPr>
        <w:pStyle w:val="4"/>
      </w:pPr>
      <w:r>
        <w:t>由图可知，随着初始应力比</w:t>
      </w:r>
      <w:r>
        <w:rPr>
          <w:position w:val="-10"/>
        </w:rPr>
        <w:drawing>
          <wp:inline distT="0" distB="0" distL="114300" distR="114300">
            <wp:extent cx="190500" cy="203200"/>
            <wp:effectExtent l="0" t="0" r="0" b="11430"/>
            <wp:docPr id="3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52"/>
                    <pic:cNvPicPr>
                      <a:picLocks noChangeAspect="1"/>
                    </pic:cNvPicPr>
                  </pic:nvPicPr>
                  <pic:blipFill>
                    <a:blip r:embed="rId550"/>
                    <a:stretch>
                      <a:fillRect/>
                    </a:stretch>
                  </pic:blipFill>
                  <pic:spPr>
                    <a:xfrm>
                      <a:off x="0" y="0"/>
                      <a:ext cx="190500" cy="203200"/>
                    </a:xfrm>
                    <a:prstGeom prst="rect">
                      <a:avLst/>
                    </a:prstGeom>
                    <a:noFill/>
                    <a:ln>
                      <a:noFill/>
                    </a:ln>
                  </pic:spPr>
                </pic:pic>
              </a:graphicData>
            </a:graphic>
          </wp:inline>
        </w:drawing>
      </w:r>
      <w:r>
        <w:t>的增大，</w:t>
      </w:r>
      <w:r>
        <w:rPr>
          <w:position w:val="-10"/>
        </w:rPr>
        <w:drawing>
          <wp:inline distT="0" distB="0" distL="114300" distR="114300">
            <wp:extent cx="177165" cy="203200"/>
            <wp:effectExtent l="0" t="0" r="0" b="12065"/>
            <wp:docPr id="39"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3"/>
                    <pic:cNvPicPr>
                      <a:picLocks noChangeAspect="1"/>
                    </pic:cNvPicPr>
                  </pic:nvPicPr>
                  <pic:blipFill>
                    <a:blip r:embed="rId551"/>
                    <a:stretch>
                      <a:fillRect/>
                    </a:stretch>
                  </pic:blipFill>
                  <pic:spPr>
                    <a:xfrm>
                      <a:off x="0" y="0"/>
                      <a:ext cx="177165" cy="203200"/>
                    </a:xfrm>
                    <a:prstGeom prst="rect">
                      <a:avLst/>
                    </a:prstGeom>
                    <a:noFill/>
                    <a:ln>
                      <a:noFill/>
                    </a:ln>
                  </pic:spPr>
                </pic:pic>
              </a:graphicData>
            </a:graphic>
          </wp:inline>
        </w:drawing>
      </w:r>
      <w:r>
        <w:t>逐渐减小。当初始应力比</w:t>
      </w:r>
      <w:r>
        <w:rPr>
          <w:position w:val="-10"/>
        </w:rPr>
        <w:drawing>
          <wp:inline distT="0" distB="0" distL="114300" distR="114300">
            <wp:extent cx="190500" cy="203200"/>
            <wp:effectExtent l="0" t="0" r="0" b="11430"/>
            <wp:docPr id="46"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54"/>
                    <pic:cNvPicPr>
                      <a:picLocks noChangeAspect="1"/>
                    </pic:cNvPicPr>
                  </pic:nvPicPr>
                  <pic:blipFill>
                    <a:blip r:embed="rId552"/>
                    <a:stretch>
                      <a:fillRect/>
                    </a:stretch>
                  </pic:blipFill>
                  <pic:spPr>
                    <a:xfrm>
                      <a:off x="0" y="0"/>
                      <a:ext cx="190500" cy="203200"/>
                    </a:xfrm>
                    <a:prstGeom prst="rect">
                      <a:avLst/>
                    </a:prstGeom>
                    <a:noFill/>
                    <a:ln>
                      <a:noFill/>
                    </a:ln>
                  </pic:spPr>
                </pic:pic>
              </a:graphicData>
            </a:graphic>
          </wp:inline>
        </w:drawing>
      </w:r>
      <w:r>
        <w:t>小于等于0.7时，曲线下降缓慢；当初始应力比</w:t>
      </w:r>
      <w:r>
        <w:rPr>
          <w:position w:val="-10"/>
        </w:rPr>
        <w:drawing>
          <wp:inline distT="0" distB="0" distL="114300" distR="114300">
            <wp:extent cx="190500" cy="203200"/>
            <wp:effectExtent l="0" t="0" r="0" b="11430"/>
            <wp:docPr id="20"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55"/>
                    <pic:cNvPicPr>
                      <a:picLocks noChangeAspect="1"/>
                    </pic:cNvPicPr>
                  </pic:nvPicPr>
                  <pic:blipFill>
                    <a:blip r:embed="rId553"/>
                    <a:stretch>
                      <a:fillRect/>
                    </a:stretch>
                  </pic:blipFill>
                  <pic:spPr>
                    <a:xfrm>
                      <a:off x="0" y="0"/>
                      <a:ext cx="190500" cy="203200"/>
                    </a:xfrm>
                    <a:prstGeom prst="rect">
                      <a:avLst/>
                    </a:prstGeom>
                    <a:noFill/>
                    <a:ln>
                      <a:noFill/>
                    </a:ln>
                  </pic:spPr>
                </pic:pic>
              </a:graphicData>
            </a:graphic>
          </wp:inline>
        </w:drawing>
      </w:r>
      <w:r>
        <w:t>大于0.7时，</w:t>
      </w:r>
      <w:r>
        <w:rPr>
          <w:position w:val="-10"/>
        </w:rPr>
        <w:drawing>
          <wp:inline distT="0" distB="0" distL="114300" distR="114300">
            <wp:extent cx="177165" cy="203200"/>
            <wp:effectExtent l="0" t="0" r="0" b="12065"/>
            <wp:docPr id="3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56"/>
                    <pic:cNvPicPr>
                      <a:picLocks noChangeAspect="1"/>
                    </pic:cNvPicPr>
                  </pic:nvPicPr>
                  <pic:blipFill>
                    <a:blip r:embed="rId551"/>
                    <a:stretch>
                      <a:fillRect/>
                    </a:stretch>
                  </pic:blipFill>
                  <pic:spPr>
                    <a:xfrm>
                      <a:off x="0" y="0"/>
                      <a:ext cx="177165" cy="203200"/>
                    </a:xfrm>
                    <a:prstGeom prst="rect">
                      <a:avLst/>
                    </a:prstGeom>
                    <a:noFill/>
                    <a:ln>
                      <a:noFill/>
                    </a:ln>
                  </pic:spPr>
                </pic:pic>
              </a:graphicData>
            </a:graphic>
          </wp:inline>
        </w:drawing>
      </w:r>
      <w:r>
        <w:t>下降增快。当初始应力比</w:t>
      </w:r>
      <w:r>
        <w:rPr>
          <w:position w:val="-10"/>
        </w:rPr>
        <w:drawing>
          <wp:inline distT="0" distB="0" distL="114300" distR="114300">
            <wp:extent cx="190500" cy="203200"/>
            <wp:effectExtent l="0" t="0" r="0" b="11430"/>
            <wp:docPr id="23"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7"/>
                    <pic:cNvPicPr>
                      <a:picLocks noChangeAspect="1"/>
                    </pic:cNvPicPr>
                  </pic:nvPicPr>
                  <pic:blipFill>
                    <a:blip r:embed="rId552"/>
                    <a:stretch>
                      <a:fillRect/>
                    </a:stretch>
                  </pic:blipFill>
                  <pic:spPr>
                    <a:xfrm>
                      <a:off x="0" y="0"/>
                      <a:ext cx="190500" cy="203200"/>
                    </a:xfrm>
                    <a:prstGeom prst="rect">
                      <a:avLst/>
                    </a:prstGeom>
                    <a:noFill/>
                    <a:ln>
                      <a:noFill/>
                    </a:ln>
                  </pic:spPr>
                </pic:pic>
              </a:graphicData>
            </a:graphic>
          </wp:inline>
        </w:drawing>
      </w:r>
      <w:r>
        <w:t>等于0.7时，</w:t>
      </w:r>
      <w:r>
        <w:rPr>
          <w:position w:val="-10"/>
        </w:rPr>
        <w:drawing>
          <wp:inline distT="0" distB="0" distL="114300" distR="114300">
            <wp:extent cx="177165" cy="203200"/>
            <wp:effectExtent l="0" t="0" r="0" b="12065"/>
            <wp:docPr id="37"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8"/>
                    <pic:cNvPicPr>
                      <a:picLocks noChangeAspect="1"/>
                    </pic:cNvPicPr>
                  </pic:nvPicPr>
                  <pic:blipFill>
                    <a:blip r:embed="rId551"/>
                    <a:stretch>
                      <a:fillRect/>
                    </a:stretch>
                  </pic:blipFill>
                  <pic:spPr>
                    <a:xfrm>
                      <a:off x="0" y="0"/>
                      <a:ext cx="177165" cy="203200"/>
                    </a:xfrm>
                    <a:prstGeom prst="rect">
                      <a:avLst/>
                    </a:prstGeom>
                    <a:noFill/>
                    <a:ln>
                      <a:noFill/>
                    </a:ln>
                  </pic:spPr>
                </pic:pic>
              </a:graphicData>
            </a:graphic>
          </wp:inline>
        </w:drawing>
      </w:r>
      <w:r>
        <w:t>在有初始应力情况下相对于初始应力比为0时的下降比例，即二次受压折减系数</w:t>
      </w:r>
      <w:r>
        <w:rPr>
          <w:position w:val="-10"/>
        </w:rPr>
        <w:drawing>
          <wp:inline distT="0" distB="0" distL="114300" distR="114300">
            <wp:extent cx="215900" cy="203200"/>
            <wp:effectExtent l="0" t="0" r="12700" b="12065"/>
            <wp:docPr id="30"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9"/>
                    <pic:cNvPicPr>
                      <a:picLocks noChangeAspect="1"/>
                    </pic:cNvPicPr>
                  </pic:nvPicPr>
                  <pic:blipFill>
                    <a:blip r:embed="rId554"/>
                    <a:stretch>
                      <a:fillRect/>
                    </a:stretch>
                  </pic:blipFill>
                  <pic:spPr>
                    <a:xfrm>
                      <a:off x="0" y="0"/>
                      <a:ext cx="215900" cy="203200"/>
                    </a:xfrm>
                    <a:prstGeom prst="rect">
                      <a:avLst/>
                    </a:prstGeom>
                    <a:noFill/>
                    <a:ln>
                      <a:noFill/>
                    </a:ln>
                  </pic:spPr>
                </pic:pic>
              </a:graphicData>
            </a:graphic>
          </wp:inline>
        </w:drawing>
      </w:r>
      <w:r>
        <w:t>在0.43~0.67之间。经综合考虑，取二次受压影响系数为</w:t>
      </w:r>
      <w:r>
        <w:rPr>
          <w:position w:val="-10"/>
        </w:rPr>
        <w:drawing>
          <wp:inline distT="0" distB="0" distL="114300" distR="114300">
            <wp:extent cx="215900" cy="203200"/>
            <wp:effectExtent l="0" t="0" r="12700" b="12065"/>
            <wp:docPr id="4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0"/>
                    <pic:cNvPicPr>
                      <a:picLocks noChangeAspect="1"/>
                    </pic:cNvPicPr>
                  </pic:nvPicPr>
                  <pic:blipFill>
                    <a:blip r:embed="rId555"/>
                    <a:stretch>
                      <a:fillRect/>
                    </a:stretch>
                  </pic:blipFill>
                  <pic:spPr>
                    <a:xfrm>
                      <a:off x="0" y="0"/>
                      <a:ext cx="215900" cy="203200"/>
                    </a:xfrm>
                    <a:prstGeom prst="rect">
                      <a:avLst/>
                    </a:prstGeom>
                    <a:noFill/>
                    <a:ln>
                      <a:noFill/>
                    </a:ln>
                  </pic:spPr>
                </pic:pic>
              </a:graphicData>
            </a:graphic>
          </wp:inline>
        </w:drawing>
      </w:r>
      <w:r>
        <w:t>=0.5。</w:t>
      </w:r>
    </w:p>
    <w:p w14:paraId="79E64349">
      <w:pPr>
        <w:pStyle w:val="4"/>
      </w:pPr>
      <w:r>
        <w:rPr>
          <w:rFonts w:hint="eastAsia"/>
        </w:rPr>
        <w:t>对于对混凝土小型空心砌块砌体结构，因无足够的试验数据支撑，本规程暂不规定高延性混凝土加固混凝土小型空心砌块砌体的材料强度利用系数，如有工程需求，经专家论证后，可参照高延性混凝土强度</w:t>
      </w:r>
      <w:r>
        <w:rPr>
          <w:position w:val="-10"/>
        </w:rPr>
        <w:object>
          <v:shape id="_x0000_i1278" o:spt="75" type="#_x0000_t75" style="height:19.9pt;width:31.7pt;" o:ole="t" filled="f" o:preferrelative="t" stroked="f" coordsize="21600,21600">
            <v:path/>
            <v:fill on="f" focussize="0,0"/>
            <v:stroke on="f" joinstyle="miter"/>
            <v:imagedata r:id="rId57" o:title=""/>
            <o:lock v:ext="edit" aspectratio="t"/>
            <w10:wrap type="none"/>
            <w10:anchorlock/>
          </v:shape>
          <o:OLEObject Type="Embed" ProgID="Equation.DSMT4" ShapeID="_x0000_i1278" DrawAspect="Content" ObjectID="_1468075976" r:id="rId556">
            <o:LockedField>false</o:LockedField>
          </o:OLEObject>
        </w:object>
      </w:r>
      <w:r>
        <w:rPr>
          <w:rFonts w:hint="eastAsia"/>
        </w:rPr>
        <w:t>0.15、钢筋强度利用系数</w:t>
      </w:r>
      <w:r>
        <w:rPr>
          <w:strike/>
          <w:position w:val="-10"/>
        </w:rPr>
        <w:object>
          <v:shape id="_x0000_i1279" o:spt="75" type="#_x0000_t75" style="height:19.35pt;width:55.9pt;" o:ole="t" filled="f" o:preferrelative="t" stroked="f" coordsize="21600,21600">
            <v:path/>
            <v:fill on="f" focussize="0,0"/>
            <v:stroke on="f" joinstyle="miter"/>
            <v:imagedata r:id="rId558" o:title=""/>
            <o:lock v:ext="edit" aspectratio="t"/>
            <w10:wrap type="none"/>
            <w10:anchorlock/>
          </v:shape>
          <o:OLEObject Type="Embed" ProgID="Equation.DSMT4" ShapeID="_x0000_i1279" DrawAspect="Content" ObjectID="_1468075977" r:id="rId557">
            <o:LockedField>false</o:LockedField>
          </o:OLEObject>
        </w:object>
      </w:r>
      <w:r>
        <w:rPr>
          <w:rFonts w:hint="eastAsia"/>
        </w:rPr>
        <w:t>进行加固设计。</w:t>
      </w:r>
    </w:p>
    <w:p w14:paraId="11B0416E">
      <w:pPr>
        <w:pStyle w:val="4"/>
      </w:pPr>
      <w:bookmarkStart w:id="1318" w:name="_Toc70169189"/>
      <w:bookmarkStart w:id="1319" w:name="_Toc63348892"/>
      <w:bookmarkStart w:id="1320" w:name="_Toc48210261"/>
      <w:bookmarkStart w:id="1321" w:name="_Toc32848286"/>
      <w:bookmarkStart w:id="1322" w:name="_Toc48210486"/>
      <w:bookmarkStart w:id="1323" w:name="_Toc19545680"/>
      <w:bookmarkStart w:id="1324" w:name="_Toc54256493"/>
      <w:bookmarkStart w:id="1325" w:name="_Toc29461"/>
      <w:bookmarkStart w:id="1326" w:name="_Toc79615738"/>
      <w:bookmarkStart w:id="1327" w:name="_Toc67330712"/>
      <w:bookmarkStart w:id="1328" w:name="_Toc54255389"/>
      <w:bookmarkStart w:id="1329" w:name="_Toc32828424"/>
      <w:bookmarkStart w:id="1330" w:name="_Toc32865047"/>
      <w:bookmarkStart w:id="1331" w:name="_Toc48138857"/>
      <w:bookmarkStart w:id="1332" w:name="_Toc52264461"/>
      <w:bookmarkStart w:id="1333" w:name="_Toc54255676"/>
      <w:bookmarkStart w:id="1334" w:name="_Toc70169859"/>
      <w:bookmarkStart w:id="1335" w:name="_Toc38352895"/>
      <w:bookmarkStart w:id="1336" w:name="_Toc25690785"/>
      <w:bookmarkStart w:id="1337" w:name="_Toc38368523"/>
      <w:bookmarkStart w:id="1338" w:name="_Toc70169779"/>
      <w:bookmarkStart w:id="1339" w:name="_Toc63348968"/>
      <w:bookmarkStart w:id="1340" w:name="_Toc25070523"/>
      <w:bookmarkStart w:id="1341" w:name="_Toc28088"/>
      <w:bookmarkStart w:id="1342" w:name="_Toc54256612"/>
      <w:r>
        <w:rPr>
          <w:rFonts w:hint="eastAsia"/>
        </w:rPr>
        <w:t>空斗墙截面面积的计算方式，参考自东南大学学者对空斗墙截面面积的计算做出的解释：空斗墙的抗剪和抗压均由两侧的斗砖承担，其抗剪截面面积取顺砖厚度范围内的有效净截面面积，如图5-2所示。</w:t>
      </w:r>
    </w:p>
    <w:p w14:paraId="31CAE0D2">
      <w:pPr>
        <w:spacing w:after="156"/>
        <w:ind w:firstLine="560"/>
        <w:jc w:val="center"/>
        <w:rPr>
          <w:rFonts w:cs="Times New Roman"/>
          <w:sz w:val="28"/>
          <w:szCs w:val="28"/>
        </w:rPr>
      </w:pPr>
      <w:r>
        <w:rPr>
          <w:rFonts w:hint="eastAsia" w:cs="Times New Roman"/>
          <w:sz w:val="28"/>
          <w:szCs w:val="28"/>
        </w:rPr>
        <w:drawing>
          <wp:inline distT="0" distB="0" distL="114300" distR="114300">
            <wp:extent cx="3176270" cy="2626995"/>
            <wp:effectExtent l="0" t="0" r="8890" b="9525"/>
            <wp:docPr id="14" name="图片 14" descr="ch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hatu"/>
                    <pic:cNvPicPr>
                      <a:picLocks noChangeAspect="1"/>
                    </pic:cNvPicPr>
                  </pic:nvPicPr>
                  <pic:blipFill>
                    <a:blip r:embed="rId559"/>
                    <a:stretch>
                      <a:fillRect/>
                    </a:stretch>
                  </pic:blipFill>
                  <pic:spPr>
                    <a:xfrm>
                      <a:off x="0" y="0"/>
                      <a:ext cx="3176270" cy="2626995"/>
                    </a:xfrm>
                    <a:prstGeom prst="rect">
                      <a:avLst/>
                    </a:prstGeom>
                  </pic:spPr>
                </pic:pic>
              </a:graphicData>
            </a:graphic>
          </wp:inline>
        </w:drawing>
      </w:r>
    </w:p>
    <w:p w14:paraId="4F1F932F">
      <w:pPr>
        <w:spacing w:before="156" w:beforeLines="50" w:after="312" w:line="312" w:lineRule="auto"/>
        <w:ind w:firstLine="420"/>
        <w:jc w:val="center"/>
        <w:rPr>
          <w:rFonts w:eastAsia="黑体" w:cs="Times New Roman"/>
          <w:szCs w:val="21"/>
        </w:rPr>
      </w:pPr>
      <w:r>
        <w:rPr>
          <w:rFonts w:eastAsia="黑体" w:cs="Times New Roman"/>
          <w:szCs w:val="21"/>
        </w:rPr>
        <w:t>图5-2 空斗墙有效净截面面积示意图</w:t>
      </w:r>
    </w:p>
    <w:p w14:paraId="095E4313">
      <w:pPr>
        <w:spacing w:after="312" w:line="312" w:lineRule="auto"/>
        <w:ind w:firstLine="420"/>
        <w:jc w:val="center"/>
        <w:rPr>
          <w:rFonts w:cs="Times New Roman"/>
          <w:kern w:val="0"/>
          <w:szCs w:val="21"/>
        </w:rPr>
      </w:pPr>
      <w:r>
        <w:rPr>
          <w:rFonts w:cs="Times New Roman"/>
          <w:szCs w:val="21"/>
        </w:rPr>
        <w:t>1-</w:t>
      </w:r>
      <w:r>
        <w:rPr>
          <w:rFonts w:cs="Times New Roman"/>
          <w:kern w:val="0"/>
          <w:szCs w:val="21"/>
        </w:rPr>
        <w:t>净截面面积</w:t>
      </w:r>
    </w:p>
    <w:p w14:paraId="003FF0F2">
      <w:pPr>
        <w:pStyle w:val="3"/>
      </w:pPr>
      <w:bookmarkStart w:id="1343" w:name="_Toc16725"/>
      <w:bookmarkStart w:id="1344" w:name="_Toc29124"/>
      <w:bookmarkStart w:id="1345" w:name="_Toc26386"/>
      <w:bookmarkStart w:id="1346" w:name="_Toc4223"/>
      <w:bookmarkStart w:id="1347" w:name="_Toc207111764"/>
      <w:r>
        <w:rPr>
          <w:rFonts w:hint="eastAsia"/>
        </w:rPr>
        <w:t>5.3  砌体抗剪加固</w:t>
      </w:r>
      <w:bookmarkEnd w:id="1343"/>
      <w:bookmarkEnd w:id="1344"/>
      <w:bookmarkEnd w:id="1345"/>
      <w:bookmarkEnd w:id="1346"/>
      <w:bookmarkEnd w:id="1347"/>
    </w:p>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p w14:paraId="300B1A81">
      <w:pPr>
        <w:pStyle w:val="4"/>
      </w:pPr>
      <w:r>
        <w:rPr>
          <w:b/>
        </w:rPr>
        <w:t>5.3.1</w:t>
      </w:r>
      <w:r>
        <w:t xml:space="preserve">  采用高延性混凝土面层或配筋高延性混凝土面层对砌体墙的抗剪加固，可简化为原砌体的抗剪承载力加上高延性混凝土加固面层的承载力贡献。由于空斗墙本身抗剪性能和整体性较差，且空斗墙抗剪承载力的理论研究较少，因此在空斗墙抗剪加固计算时，可不考虑其抗剪承载力，即被加固的墙体抗剪承载力全部由高延性混凝土加固面层承担，这样设计也是偏于安全的。</w:t>
      </w:r>
    </w:p>
    <w:p w14:paraId="35048F3F">
      <w:pPr>
        <w:pStyle w:val="4"/>
      </w:pPr>
      <w:r>
        <w:rPr>
          <w:b/>
        </w:rPr>
        <w:t xml:space="preserve">5.3.2 </w:t>
      </w:r>
      <w:r>
        <w:t xml:space="preserve"> 采用高延性混凝土面层加固后，墙体提高的受剪承载力</w:t>
      </w:r>
      <w:r>
        <w:rPr>
          <w:position w:val="-10"/>
        </w:rPr>
        <w:drawing>
          <wp:inline distT="0" distB="0" distL="114300" distR="114300">
            <wp:extent cx="175260" cy="215900"/>
            <wp:effectExtent l="0" t="0" r="7620" b="13335"/>
            <wp:docPr id="3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1"/>
                    <pic:cNvPicPr>
                      <a:picLocks noChangeAspect="1"/>
                    </pic:cNvPicPr>
                  </pic:nvPicPr>
                  <pic:blipFill>
                    <a:blip r:embed="rId560"/>
                    <a:stretch>
                      <a:fillRect/>
                    </a:stretch>
                  </pic:blipFill>
                  <pic:spPr>
                    <a:xfrm>
                      <a:off x="0" y="0"/>
                      <a:ext cx="175260" cy="215900"/>
                    </a:xfrm>
                    <a:prstGeom prst="rect">
                      <a:avLst/>
                    </a:prstGeom>
                    <a:noFill/>
                    <a:ln>
                      <a:noFill/>
                    </a:ln>
                  </pic:spPr>
                </pic:pic>
              </a:graphicData>
            </a:graphic>
          </wp:inline>
        </w:drawing>
      </w:r>
      <w:r>
        <w:t>根据试验结果并考虑面层的破坏形式，按主拉应力理论计算。</w:t>
      </w:r>
    </w:p>
    <w:p w14:paraId="0AF83796">
      <w:pPr>
        <w:pStyle w:val="3"/>
      </w:pPr>
      <w:bookmarkStart w:id="1348" w:name="_Toc32848287"/>
      <w:bookmarkStart w:id="1349" w:name="_Toc54256494"/>
      <w:bookmarkStart w:id="1350" w:name="_Toc63348969"/>
      <w:bookmarkStart w:id="1351" w:name="_Toc54255677"/>
      <w:bookmarkStart w:id="1352" w:name="_Toc25690786"/>
      <w:bookmarkStart w:id="1353" w:name="_Toc70169860"/>
      <w:bookmarkStart w:id="1354" w:name="_Toc38368524"/>
      <w:bookmarkStart w:id="1355" w:name="_Toc63348893"/>
      <w:bookmarkStart w:id="1356" w:name="_Toc48210262"/>
      <w:bookmarkStart w:id="1357" w:name="_Toc19545681"/>
      <w:bookmarkStart w:id="1358" w:name="_Toc54255390"/>
      <w:bookmarkStart w:id="1359" w:name="_Toc22759"/>
      <w:bookmarkStart w:id="1360" w:name="_Toc32865048"/>
      <w:bookmarkStart w:id="1361" w:name="_Toc70169780"/>
      <w:bookmarkStart w:id="1362" w:name="_Toc67330713"/>
      <w:bookmarkStart w:id="1363" w:name="_Toc52264462"/>
      <w:bookmarkStart w:id="1364" w:name="_Toc25070524"/>
      <w:bookmarkStart w:id="1365" w:name="_Toc32828425"/>
      <w:bookmarkStart w:id="1366" w:name="_Toc38352896"/>
      <w:bookmarkStart w:id="1367" w:name="_Toc24385"/>
      <w:bookmarkStart w:id="1368" w:name="_Toc70169190"/>
      <w:bookmarkStart w:id="1369" w:name="_Toc29077"/>
      <w:bookmarkStart w:id="1370" w:name="_Toc48138858"/>
      <w:bookmarkStart w:id="1371" w:name="_Toc25104"/>
      <w:bookmarkStart w:id="1372" w:name="_Toc207111765"/>
      <w:bookmarkStart w:id="1373" w:name="_Toc12494"/>
      <w:bookmarkStart w:id="1374" w:name="_Toc48210487"/>
      <w:bookmarkStart w:id="1375" w:name="_Toc54256613"/>
      <w:bookmarkStart w:id="1376" w:name="_Toc4332"/>
      <w:bookmarkStart w:id="1377" w:name="_Toc79615739"/>
      <w:r>
        <w:t>5.4  砌体抗震加固</w:t>
      </w:r>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p>
    <w:p w14:paraId="6F7924D8">
      <w:pPr>
        <w:pStyle w:val="4"/>
      </w:pPr>
      <w:r>
        <w:rPr>
          <w:b/>
        </w:rPr>
        <w:t xml:space="preserve">5.4.1 </w:t>
      </w:r>
      <w:r>
        <w:t xml:space="preserve"> 原砌体的抗震承载力计算与现行国家标准《砌体结构设计规范》GB 50003规定相同；而高延性混凝土的贡献，根据现行《建筑抗震设计规范》GB 50011在截面抗震验算中所建立的概念，可以简单地认为其抗震承载力与非抗震下的抗剪承载力相同，仅需将后者除以承载力抗震调整系数即可。这是一种偏于安全的处理方法。</w:t>
      </w:r>
    </w:p>
    <w:p w14:paraId="15876AE2">
      <w:pPr>
        <w:pStyle w:val="4"/>
      </w:pPr>
      <w:r>
        <w:rPr>
          <w:b/>
        </w:rPr>
        <w:t>5.4.2</w:t>
      </w:r>
      <w:r>
        <w:t xml:space="preserve">  抗震加固和抗震鉴定一样，可采用加固后的综合抗震能力指数作为衡量多层砌体房屋抗震能力的指标，也可按设计规范的方法对加固后的墙段用截面受剪承载力进行验算。与鉴定不同的是，要按不同的加固方法考虑相应的加固增强系数，并按加固后的情况取体系影响系数</w:t>
      </w:r>
      <w:r>
        <w:rPr>
          <w:position w:val="-12"/>
        </w:rPr>
        <w:drawing>
          <wp:inline distT="0" distB="0" distL="114300" distR="114300">
            <wp:extent cx="203200" cy="241300"/>
            <wp:effectExtent l="0" t="0" r="10160" b="1905"/>
            <wp:docPr id="41"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2"/>
                    <pic:cNvPicPr>
                      <a:picLocks noChangeAspect="1"/>
                    </pic:cNvPicPr>
                  </pic:nvPicPr>
                  <pic:blipFill>
                    <a:blip r:embed="rId561"/>
                    <a:stretch>
                      <a:fillRect/>
                    </a:stretch>
                  </pic:blipFill>
                  <pic:spPr>
                    <a:xfrm>
                      <a:off x="0" y="0"/>
                      <a:ext cx="203200" cy="241300"/>
                    </a:xfrm>
                    <a:prstGeom prst="rect">
                      <a:avLst/>
                    </a:prstGeom>
                    <a:noFill/>
                    <a:ln>
                      <a:noFill/>
                    </a:ln>
                  </pic:spPr>
                </pic:pic>
              </a:graphicData>
            </a:graphic>
          </wp:inline>
        </w:drawing>
      </w:r>
      <w:r>
        <w:t>和局部影响系数</w:t>
      </w:r>
      <w:r>
        <w:rPr>
          <w:position w:val="-12"/>
        </w:rPr>
        <w:drawing>
          <wp:inline distT="0" distB="0" distL="114300" distR="114300">
            <wp:extent cx="215900" cy="241300"/>
            <wp:effectExtent l="0" t="0" r="12700" b="1905"/>
            <wp:docPr id="4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63"/>
                    <pic:cNvPicPr>
                      <a:picLocks noChangeAspect="1"/>
                    </pic:cNvPicPr>
                  </pic:nvPicPr>
                  <pic:blipFill>
                    <a:blip r:embed="rId562"/>
                    <a:stretch>
                      <a:fillRect/>
                    </a:stretch>
                  </pic:blipFill>
                  <pic:spPr>
                    <a:xfrm>
                      <a:off x="0" y="0"/>
                      <a:ext cx="215900" cy="241300"/>
                    </a:xfrm>
                    <a:prstGeom prst="rect">
                      <a:avLst/>
                    </a:prstGeom>
                    <a:noFill/>
                    <a:ln>
                      <a:noFill/>
                    </a:ln>
                  </pic:spPr>
                </pic:pic>
              </a:graphicData>
            </a:graphic>
          </wp:inline>
        </w:drawing>
      </w:r>
      <w:r>
        <w:t>。</w:t>
      </w:r>
    </w:p>
    <w:p w14:paraId="071C0FAF">
      <w:pPr>
        <w:pStyle w:val="3"/>
      </w:pPr>
      <w:bookmarkStart w:id="1378" w:name="_Toc38368526"/>
      <w:bookmarkStart w:id="1379" w:name="_Toc38352898"/>
      <w:bookmarkStart w:id="1380" w:name="_Toc32848288"/>
      <w:bookmarkStart w:id="1381" w:name="_Toc19545683"/>
      <w:bookmarkStart w:id="1382" w:name="_Toc32828426"/>
      <w:bookmarkStart w:id="1383" w:name="_Toc25690787"/>
      <w:bookmarkStart w:id="1384" w:name="_Toc70169191"/>
      <w:bookmarkStart w:id="1385" w:name="_Toc18560"/>
      <w:bookmarkStart w:id="1386" w:name="_Toc70169781"/>
      <w:bookmarkStart w:id="1387" w:name="_Toc25070525"/>
      <w:bookmarkStart w:id="1388" w:name="_Toc48210264"/>
      <w:bookmarkStart w:id="1389" w:name="_Toc63348970"/>
      <w:bookmarkStart w:id="1390" w:name="_Toc63348894"/>
      <w:bookmarkStart w:id="1391" w:name="_Toc54256615"/>
      <w:bookmarkStart w:id="1392" w:name="_Toc17262"/>
      <w:bookmarkStart w:id="1393" w:name="_Toc67330714"/>
      <w:bookmarkStart w:id="1394" w:name="_Toc70169861"/>
      <w:bookmarkStart w:id="1395" w:name="_Toc54255392"/>
      <w:bookmarkStart w:id="1396" w:name="_Toc13150"/>
      <w:bookmarkStart w:id="1397" w:name="_Toc54256496"/>
      <w:bookmarkStart w:id="1398" w:name="_Toc9387"/>
      <w:bookmarkStart w:id="1399" w:name="_Toc32865050"/>
      <w:bookmarkStart w:id="1400" w:name="_Toc207111766"/>
      <w:bookmarkStart w:id="1401" w:name="_Toc48210489"/>
      <w:bookmarkStart w:id="1402" w:name="_Toc79615740"/>
      <w:bookmarkStart w:id="1403" w:name="_Toc31075"/>
      <w:bookmarkStart w:id="1404" w:name="_Toc48138860"/>
      <w:bookmarkStart w:id="1405" w:name="_Toc52264464"/>
      <w:bookmarkStart w:id="1406" w:name="_Toc13004"/>
      <w:bookmarkStart w:id="1407" w:name="_Toc54255679"/>
      <w:r>
        <w:t xml:space="preserve">5.5  </w:t>
      </w:r>
      <w:r>
        <w:rPr>
          <w:bCs/>
        </w:rPr>
        <w:t>构造要求</w:t>
      </w:r>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14:paraId="5A926D29">
      <w:pPr>
        <w:pStyle w:val="4"/>
      </w:pPr>
      <w:bookmarkStart w:id="1408" w:name="_Toc38368527"/>
      <w:bookmarkStart w:id="1409" w:name="_Toc54255393"/>
      <w:bookmarkStart w:id="1410" w:name="_Toc52264465"/>
      <w:bookmarkStart w:id="1411" w:name="_Toc38352899"/>
      <w:bookmarkStart w:id="1412" w:name="_Toc48210265"/>
      <w:bookmarkStart w:id="1413" w:name="_Toc48210490"/>
      <w:bookmarkStart w:id="1414" w:name="_Toc32865051"/>
      <w:bookmarkStart w:id="1415" w:name="_Toc54255680"/>
      <w:bookmarkStart w:id="1416" w:name="_Toc48138861"/>
      <w:bookmarkStart w:id="1417" w:name="_Toc54256616"/>
      <w:bookmarkStart w:id="1418" w:name="_Toc54256497"/>
      <w:r>
        <w:rPr>
          <w:b/>
        </w:rPr>
        <w:t xml:space="preserve">5.5.1 </w:t>
      </w:r>
      <w:r>
        <w:t xml:space="preserve"> 高延性混凝土加固</w:t>
      </w:r>
      <w:r>
        <w:rPr>
          <w:rFonts w:hint="eastAsia"/>
        </w:rPr>
        <w:t>砌体构件</w:t>
      </w:r>
      <w:r>
        <w:t>一般不需要在面层中配置钢筋，当墙体承载量相差较大或损伤严重时，适当增加面层厚度，但面层厚度较厚时为了充分发挥高延性混凝土的性能优势，可以在面层中配置钢筋，形成配筋高延性混凝土面层，更大程度提高砌体结构的承载能力和整体性。</w:t>
      </w:r>
    </w:p>
    <w:p w14:paraId="3E72ADC3">
      <w:pPr>
        <w:ind w:firstLine="420"/>
      </w:pPr>
      <w:r>
        <w:t>砂浆强度较低时，为了更好地提高高延性混凝土面层与原墙体的共同工作能力，建议在高延性混凝土面层与墙体之间采用局部嵌缝等方式进行处理。对面层端部应采取嵌固措施防止面层剥离。遇到门窗洞口时，应将面层延伸至洞口侧边锚固，提高加固的整体性。</w:t>
      </w:r>
    </w:p>
    <w:p w14:paraId="5080F2F2">
      <w:pPr>
        <w:pStyle w:val="4"/>
      </w:pPr>
      <w:r>
        <w:rPr>
          <w:b/>
        </w:rPr>
        <w:t>5.5.2</w:t>
      </w:r>
      <w:r>
        <w:t xml:space="preserve">  高延性混凝土受压加固时，加固面层适当增加，且宜采用双面加固，若实际条件只能做单面加固时，应对该加固部位适当加强处理。当面层较厚时，宜采用拉结筋增强面层与墙体的可靠拉结，提高对面层的横向约束，防止砌体构件受压时面层横向变形剥离。</w:t>
      </w:r>
    </w:p>
    <w:p w14:paraId="7DF51756">
      <w:pPr>
        <w:pStyle w:val="4"/>
      </w:pPr>
      <w:r>
        <w:rPr>
          <w:b/>
        </w:rPr>
        <w:t xml:space="preserve">5.5.3 </w:t>
      </w:r>
      <w:r>
        <w:t xml:space="preserve"> 采用高延性混凝土对墙体进行抗剪和抗震加固时，可根据综合抗震能力指数的控制，只在某一层进行，不需要自上而下延伸至基础。但在底层的外墙，为提高耐久性，面层在室外地面以下宜加厚并向下延伸。</w:t>
      </w:r>
    </w:p>
    <w:p w14:paraId="3E8D2DE3">
      <w:pPr>
        <w:pStyle w:val="4"/>
      </w:pPr>
      <w:r>
        <w:rPr>
          <w:b/>
        </w:rPr>
        <w:t xml:space="preserve">5.5.4 </w:t>
      </w:r>
      <w:r>
        <w:t xml:space="preserve"> 当砌体结构构造柱或圈梁抗震构造措施不足时，可采用高延性混凝土-砌体组合圈梁和高延性混凝土-砌体组合构造柱对房屋进行整体性加固，解决其抗震构造措施不足的问题。这样处理，施工方便快捷，且对原有建筑的使用空间占用较少。</w:t>
      </w:r>
    </w:p>
    <w:bookmarkEnd w:id="1408"/>
    <w:bookmarkEnd w:id="1409"/>
    <w:bookmarkEnd w:id="1410"/>
    <w:bookmarkEnd w:id="1411"/>
    <w:bookmarkEnd w:id="1412"/>
    <w:bookmarkEnd w:id="1413"/>
    <w:bookmarkEnd w:id="1414"/>
    <w:bookmarkEnd w:id="1415"/>
    <w:bookmarkEnd w:id="1416"/>
    <w:bookmarkEnd w:id="1417"/>
    <w:bookmarkEnd w:id="1418"/>
    <w:p w14:paraId="492629D1">
      <w:pPr>
        <w:spacing w:before="93" w:beforeLines="30" w:after="93" w:afterLines="30"/>
        <w:ind w:firstLine="420"/>
        <w:jc w:val="center"/>
      </w:pPr>
      <w:r>
        <w:br w:type="page"/>
      </w:r>
      <w:bookmarkStart w:id="1419" w:name="_Toc52264467"/>
      <w:bookmarkStart w:id="1420" w:name="_Toc38352900"/>
      <w:bookmarkStart w:id="1421" w:name="_Toc67330717"/>
      <w:bookmarkStart w:id="1422" w:name="_Toc25690790"/>
      <w:bookmarkStart w:id="1423" w:name="_Toc54256618"/>
      <w:bookmarkStart w:id="1424" w:name="_Toc54256499"/>
      <w:bookmarkStart w:id="1425" w:name="_Toc48210492"/>
      <w:bookmarkStart w:id="1426" w:name="_Toc19545685"/>
      <w:bookmarkStart w:id="1427" w:name="_Toc63348897"/>
      <w:bookmarkStart w:id="1428" w:name="_Toc32828429"/>
      <w:bookmarkStart w:id="1429" w:name="_Toc54255682"/>
      <w:bookmarkStart w:id="1430" w:name="_Toc70169782"/>
      <w:bookmarkStart w:id="1431" w:name="_Toc63348973"/>
      <w:bookmarkStart w:id="1432" w:name="_Toc79615741"/>
      <w:bookmarkStart w:id="1433" w:name="_Toc48138863"/>
      <w:bookmarkStart w:id="1434" w:name="_Toc3242"/>
      <w:bookmarkStart w:id="1435" w:name="_Toc32848291"/>
      <w:bookmarkStart w:id="1436" w:name="_Toc8765"/>
      <w:bookmarkStart w:id="1437" w:name="_Toc32865052"/>
      <w:bookmarkStart w:id="1438" w:name="_Toc48210267"/>
      <w:bookmarkStart w:id="1439" w:name="_Toc70169862"/>
      <w:bookmarkStart w:id="1440" w:name="_Toc70169194"/>
      <w:bookmarkStart w:id="1441" w:name="_Toc54255395"/>
      <w:bookmarkStart w:id="1442" w:name="_Toc25070527"/>
      <w:bookmarkStart w:id="1443" w:name="_Toc38368529"/>
    </w:p>
    <w:p w14:paraId="0AC2DBA1">
      <w:pPr>
        <w:pStyle w:val="2"/>
        <w:spacing w:after="312"/>
        <w:rPr>
          <w:snapToGrid w:val="0"/>
        </w:rPr>
      </w:pPr>
      <w:bookmarkStart w:id="1444" w:name="_Toc21416"/>
      <w:bookmarkStart w:id="1445" w:name="_Toc15484"/>
      <w:bookmarkStart w:id="1446" w:name="_Toc21258"/>
      <w:bookmarkStart w:id="1447" w:name="_Toc207111767"/>
      <w:bookmarkStart w:id="1448" w:name="_Toc8102"/>
      <w:r>
        <w:rPr>
          <w:rFonts w:hint="eastAsia"/>
          <w:snapToGrid w:val="0"/>
        </w:rPr>
        <w:t>6  混凝土构件加固设计</w:t>
      </w:r>
      <w:bookmarkEnd w:id="1444"/>
      <w:bookmarkEnd w:id="1445"/>
      <w:bookmarkEnd w:id="1446"/>
      <w:bookmarkEnd w:id="1447"/>
      <w:bookmarkEnd w:id="1448"/>
    </w:p>
    <w:p w14:paraId="2377650F">
      <w:pPr>
        <w:pStyle w:val="3"/>
        <w:rPr>
          <w:sz w:val="40"/>
        </w:rPr>
      </w:pPr>
      <w:bookmarkStart w:id="1449" w:name="_Toc21209"/>
      <w:bookmarkStart w:id="1450" w:name="_Toc207111768"/>
      <w:bookmarkStart w:id="1451" w:name="_Toc20742"/>
      <w:bookmarkStart w:id="1452" w:name="_Toc25584"/>
      <w:bookmarkStart w:id="1453" w:name="_Toc27182"/>
      <w:r>
        <w:t>6.1  一般规定</w:t>
      </w:r>
      <w:bookmarkEnd w:id="1449"/>
      <w:bookmarkEnd w:id="1450"/>
      <w:bookmarkEnd w:id="1451"/>
      <w:bookmarkEnd w:id="1452"/>
      <w:bookmarkEnd w:id="1453"/>
    </w:p>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p w14:paraId="366CB336">
      <w:pPr>
        <w:pStyle w:val="4"/>
      </w:pPr>
      <w:r>
        <w:rPr>
          <w:rFonts w:hint="eastAsia"/>
          <w:b/>
          <w:iCs/>
        </w:rPr>
        <w:t>6.1.1</w:t>
      </w:r>
      <w:r>
        <w:rPr>
          <w:b/>
        </w:rPr>
        <w:t xml:space="preserve"> </w:t>
      </w:r>
      <w:r>
        <w:t xml:space="preserve"> </w:t>
      </w:r>
      <w:r>
        <w:rPr>
          <w:rFonts w:hint="eastAsia"/>
        </w:rPr>
        <w:t>由于高延性混凝土的峰值压应变远高于普通混凝土的极限压应变，且高延性混凝土的弹性模量要低于普通混凝土，因此其抗压强度利用效率有所降低，但是高延性混凝土对提高构件延性、提高构件耐久性以及在施工工艺的简便性上有较大优势。同时，高延性混凝土具有较高的剪变模量和抗拉强度，对提高构件的受剪承载力方面作用明显。因此，对于混凝土构件，更多的是利用其施工简单的优势以及对构件延性、抗裂及耐久性提高等优势，对混凝土构件进行加固或修缮处理。</w:t>
      </w:r>
    </w:p>
    <w:p w14:paraId="0323F264">
      <w:pPr>
        <w:pStyle w:val="4"/>
      </w:pPr>
      <w:r>
        <w:rPr>
          <w:rFonts w:hint="eastAsia"/>
          <w:b/>
          <w:iCs/>
        </w:rPr>
        <w:t>6.1.2</w:t>
      </w:r>
      <w:r>
        <w:t xml:space="preserve">  </w:t>
      </w:r>
      <w:r>
        <w:rPr>
          <w:rFonts w:hint="eastAsia"/>
        </w:rPr>
        <w:t>对原构件混凝土强度等级不应低于C13（旧标号150）的强度要求，是参照现行国家标准《混凝土结构加固设计规范》GB 50367的有关规定执行。</w:t>
      </w:r>
    </w:p>
    <w:p w14:paraId="15169CA7">
      <w:pPr>
        <w:pStyle w:val="3"/>
      </w:pPr>
      <w:bookmarkStart w:id="1454" w:name="_Toc32848293"/>
      <w:bookmarkStart w:id="1455" w:name="_Toc63348975"/>
      <w:bookmarkStart w:id="1456" w:name="_Toc19545687"/>
      <w:bookmarkStart w:id="1457" w:name="_Toc48210269"/>
      <w:bookmarkStart w:id="1458" w:name="_Toc3640"/>
      <w:bookmarkStart w:id="1459" w:name="_Toc54256620"/>
      <w:bookmarkStart w:id="1460" w:name="_Toc70169864"/>
      <w:bookmarkStart w:id="1461" w:name="_Toc79615743"/>
      <w:bookmarkStart w:id="1462" w:name="_Toc70169784"/>
      <w:bookmarkStart w:id="1463" w:name="_Toc54255397"/>
      <w:bookmarkStart w:id="1464" w:name="_Toc70169196"/>
      <w:bookmarkStart w:id="1465" w:name="_Toc13812"/>
      <w:bookmarkStart w:id="1466" w:name="_Toc32865054"/>
      <w:bookmarkStart w:id="1467" w:name="_Toc38368531"/>
      <w:bookmarkStart w:id="1468" w:name="_Toc32828431"/>
      <w:bookmarkStart w:id="1469" w:name="_Toc25690792"/>
      <w:bookmarkStart w:id="1470" w:name="_Toc54255684"/>
      <w:bookmarkStart w:id="1471" w:name="_Toc14327"/>
      <w:bookmarkStart w:id="1472" w:name="_Toc38352902"/>
      <w:bookmarkStart w:id="1473" w:name="_Toc27937"/>
      <w:bookmarkStart w:id="1474" w:name="_Toc25070529"/>
      <w:bookmarkStart w:id="1475" w:name="_Toc63348899"/>
      <w:bookmarkStart w:id="1476" w:name="_Toc27891"/>
      <w:bookmarkStart w:id="1477" w:name="_Toc48138865"/>
      <w:bookmarkStart w:id="1478" w:name="_Toc54256501"/>
      <w:bookmarkStart w:id="1479" w:name="_Toc48210494"/>
      <w:bookmarkStart w:id="1480" w:name="_Toc12204"/>
      <w:bookmarkStart w:id="1481" w:name="_Toc67330719"/>
      <w:bookmarkStart w:id="1482" w:name="_Toc52264469"/>
      <w:bookmarkStart w:id="1483" w:name="_Toc207111769"/>
      <w:r>
        <w:t>6.2  钢筋混凝土剪力墙抗剪加固</w:t>
      </w:r>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p>
    <w:p w14:paraId="1F848099">
      <w:pPr>
        <w:pStyle w:val="4"/>
      </w:pPr>
      <w:r>
        <w:rPr>
          <w:b/>
        </w:rPr>
        <w:t>6.2.1、6.2.2</w:t>
      </w:r>
      <w:r>
        <w:t xml:space="preserve">  对受剪截面限制条件的规定与现行国家标准《混凝土结构设计规范》GB 50010一致，而从增大截面构件的荷载试验过程来看，增大截面还有助于减缓斜裂缝宽度的发展。因此引用GB 50010的规定作为加固后构件的受剪截面限制条件仍然是合适的。加固后的抗剪承载力计算可简化为原剪力墙的抗剪承载力加上高延性混凝土加固面层的承载力贡献。</w:t>
      </w:r>
    </w:p>
    <w:p w14:paraId="39463477">
      <w:pPr>
        <w:pStyle w:val="4"/>
      </w:pPr>
      <w:r>
        <w:rPr>
          <w:b/>
        </w:rPr>
        <w:t>6.2.3</w:t>
      </w:r>
      <w:r>
        <w:t xml:space="preserve">  加固面层的受剪承载力贡献包括面层的抗剪承载力和钢筋的抗剪承载力，其中高延性混凝土面层的强度利用系数由试验结果得到。高延性混凝土加固面层在压、弯、剪共同作用下，其主拉应力达到抗拉强度时发生剪切破坏，根据此时的应力状态平衡求得高延性混凝土面层的受剪承载力系数</w:t>
      </w:r>
      <w:r>
        <w:rPr>
          <w:rStyle w:val="34"/>
        </w:rPr>
        <w:object>
          <v:shape id="_x0000_i1280" o:spt="75" type="#_x0000_t75" style="height:37.6pt;width:91.35pt;" o:ole="t" filled="f" o:preferrelative="t" stroked="f" coordsize="21600,21600">
            <v:path/>
            <v:fill on="f" focussize="0,0"/>
            <v:stroke on="f" joinstyle="miter"/>
            <v:imagedata r:id="rId564" o:title=""/>
            <o:lock v:ext="edit" aspectratio="t"/>
            <w10:wrap type="none"/>
            <w10:anchorlock/>
          </v:shape>
          <o:OLEObject Type="Embed" ProgID="Equation.3" ShapeID="_x0000_i1280" DrawAspect="Content" ObjectID="_1468075978" r:id="rId563">
            <o:LockedField>false</o:LockedField>
          </o:OLEObject>
        </w:object>
      </w:r>
      <w:r>
        <w:t>，实际工程中采用高延性混凝土面层加固剪力墙时，一般不进行卸载，高延性混凝土加固层的竖向应力滞后，可不考虑竖向压应力的影响，因此式中</w:t>
      </w:r>
      <w:r>
        <w:rPr>
          <w:i/>
          <w:iCs/>
        </w:rPr>
        <w:t>N</w:t>
      </w:r>
      <w:r>
        <w:t>=0，则</w:t>
      </w:r>
      <w:r>
        <w:rPr>
          <w:i/>
          <w:iCs/>
        </w:rPr>
        <w:t>α</w:t>
      </w:r>
      <w:r>
        <w:rPr>
          <w:vertAlign w:val="subscript"/>
        </w:rPr>
        <w:t>d</w:t>
      </w:r>
      <w:r>
        <w:t>=0.66，该取值也是相对保守的。</w:t>
      </w:r>
      <w:r>
        <w:rPr>
          <w:rFonts w:hint="eastAsia"/>
          <w:i/>
          <w:iCs/>
        </w:rPr>
        <w:t>N</w:t>
      </w:r>
      <w:r>
        <w:t>是剪力墙加固后的轴向压力设计值；</w:t>
      </w:r>
      <w:r>
        <w:rPr>
          <w:rFonts w:hint="eastAsia"/>
          <w:i/>
          <w:iCs/>
        </w:rPr>
        <w:t>A</w:t>
      </w:r>
      <w:r>
        <w:rPr>
          <w:rFonts w:hint="eastAsia"/>
          <w:vertAlign w:val="subscript"/>
        </w:rPr>
        <w:t>d</w:t>
      </w:r>
      <w:r>
        <w:t>是墙体两侧高延性混凝土面层的总横截面面积。</w:t>
      </w:r>
    </w:p>
    <w:p w14:paraId="55578CA0">
      <w:pPr>
        <w:pStyle w:val="3"/>
      </w:pPr>
      <w:bookmarkStart w:id="1484" w:name="_Toc70169785"/>
      <w:bookmarkStart w:id="1485" w:name="_Toc63348900"/>
      <w:bookmarkStart w:id="1486" w:name="_Toc19477"/>
      <w:bookmarkStart w:id="1487" w:name="_Toc1020"/>
      <w:bookmarkStart w:id="1488" w:name="_Toc25070530"/>
      <w:bookmarkStart w:id="1489" w:name="_Toc25690793"/>
      <w:bookmarkStart w:id="1490" w:name="_Toc52264470"/>
      <w:bookmarkStart w:id="1491" w:name="_Toc32828432"/>
      <w:bookmarkStart w:id="1492" w:name="_Toc54255685"/>
      <w:bookmarkStart w:id="1493" w:name="_Toc70169197"/>
      <w:bookmarkStart w:id="1494" w:name="_Toc18536"/>
      <w:bookmarkStart w:id="1495" w:name="_Toc54256502"/>
      <w:bookmarkStart w:id="1496" w:name="_Toc70169865"/>
      <w:bookmarkStart w:id="1497" w:name="_Toc48210495"/>
      <w:bookmarkStart w:id="1498" w:name="_Toc19545688"/>
      <w:bookmarkStart w:id="1499" w:name="_Toc32865055"/>
      <w:bookmarkStart w:id="1500" w:name="_Toc54256621"/>
      <w:bookmarkStart w:id="1501" w:name="_Toc67330720"/>
      <w:bookmarkStart w:id="1502" w:name="_Toc38368532"/>
      <w:bookmarkStart w:id="1503" w:name="_Toc19109"/>
      <w:bookmarkStart w:id="1504" w:name="_Toc63348976"/>
      <w:bookmarkStart w:id="1505" w:name="_Toc32848294"/>
      <w:bookmarkStart w:id="1506" w:name="_Toc38352903"/>
      <w:bookmarkStart w:id="1507" w:name="_Toc48138866"/>
      <w:bookmarkStart w:id="1508" w:name="_Toc28407"/>
      <w:bookmarkStart w:id="1509" w:name="_Toc48210270"/>
      <w:bookmarkStart w:id="1510" w:name="_Toc207111770"/>
      <w:bookmarkStart w:id="1511" w:name="_Toc22621"/>
      <w:bookmarkStart w:id="1512" w:name="_Toc79615744"/>
      <w:bookmarkStart w:id="1513" w:name="_Toc54255398"/>
      <w:r>
        <w:t>6.3  钢筋混凝土梁抗剪加固</w:t>
      </w:r>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p>
    <w:p w14:paraId="1ABAB656">
      <w:pPr>
        <w:pStyle w:val="4"/>
      </w:pPr>
      <w:r>
        <w:rPr>
          <w:b/>
        </w:rPr>
        <w:t>6.3.1</w:t>
      </w:r>
      <w:r>
        <w:t xml:space="preserve">  本条的计算规定与国家标准《混凝土结构加固设计规范》GB 50367</w:t>
      </w:r>
      <w:r>
        <w:rPr>
          <w:rFonts w:hint="eastAsia"/>
        </w:rPr>
        <w:t>-2013第5.3.1条</w:t>
      </w:r>
      <w:r>
        <w:t>的规定相符，将新、旧混凝土的斜截面受剪承载力分开计算，并给出了具体公式。</w:t>
      </w:r>
    </w:p>
    <w:p w14:paraId="07F1BD6A">
      <w:pPr>
        <w:pStyle w:val="3"/>
      </w:pPr>
      <w:bookmarkStart w:id="1514" w:name="_Toc24033"/>
      <w:bookmarkStart w:id="1515" w:name="_Toc32865056"/>
      <w:bookmarkStart w:id="1516" w:name="_Toc70169786"/>
      <w:bookmarkStart w:id="1517" w:name="_Toc4397"/>
      <w:bookmarkStart w:id="1518" w:name="_Toc31120"/>
      <w:bookmarkStart w:id="1519" w:name="_Toc79615745"/>
      <w:bookmarkStart w:id="1520" w:name="_Toc63348901"/>
      <w:bookmarkStart w:id="1521" w:name="_Toc48210271"/>
      <w:bookmarkStart w:id="1522" w:name="_Toc54255686"/>
      <w:bookmarkStart w:id="1523" w:name="_Toc25070531"/>
      <w:bookmarkStart w:id="1524" w:name="_Toc27158"/>
      <w:bookmarkStart w:id="1525" w:name="_Toc48210496"/>
      <w:bookmarkStart w:id="1526" w:name="_Toc38368533"/>
      <w:bookmarkStart w:id="1527" w:name="_Toc52264471"/>
      <w:bookmarkStart w:id="1528" w:name="_Toc30047"/>
      <w:bookmarkStart w:id="1529" w:name="_Toc25690794"/>
      <w:bookmarkStart w:id="1530" w:name="_Toc38352904"/>
      <w:bookmarkStart w:id="1531" w:name="_Toc54255399"/>
      <w:bookmarkStart w:id="1532" w:name="_Toc54256622"/>
      <w:bookmarkStart w:id="1533" w:name="_Toc19545689"/>
      <w:bookmarkStart w:id="1534" w:name="_Toc63348977"/>
      <w:bookmarkStart w:id="1535" w:name="_Toc32828433"/>
      <w:bookmarkStart w:id="1536" w:name="_Toc70169198"/>
      <w:bookmarkStart w:id="1537" w:name="_Toc32848295"/>
      <w:bookmarkStart w:id="1538" w:name="_Toc67330721"/>
      <w:bookmarkStart w:id="1539" w:name="_Toc54256503"/>
      <w:bookmarkStart w:id="1540" w:name="_Toc14629"/>
      <w:bookmarkStart w:id="1541" w:name="_Toc207111771"/>
      <w:bookmarkStart w:id="1542" w:name="_Toc70169866"/>
      <w:bookmarkStart w:id="1543" w:name="_Toc48138867"/>
      <w:r>
        <w:t>6.4  钢筋混凝土柱正截面抗压加固</w:t>
      </w:r>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p>
    <w:p w14:paraId="5FFC3983">
      <w:pPr>
        <w:pStyle w:val="4"/>
      </w:pPr>
      <w:r>
        <w:rPr>
          <w:b/>
        </w:rPr>
        <w:t>6.4.1</w:t>
      </w:r>
      <w:r>
        <w:t xml:space="preserve">  钢筋混凝土轴心受压构件采用高延性混凝土增大截面法加固后，其正截面承载力的计算公式仍按现行国家标准《混凝土结构加固设计规范》GB 50367的公式采用。其中，系数</w:t>
      </w:r>
      <w:r>
        <w:rPr>
          <w:position w:val="-10"/>
        </w:rPr>
        <w:drawing>
          <wp:inline distT="0" distB="0" distL="114300" distR="114300">
            <wp:extent cx="203200" cy="203200"/>
            <wp:effectExtent l="0" t="0" r="10160" b="12065"/>
            <wp:docPr id="29"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7"/>
                    <pic:cNvPicPr>
                      <a:picLocks noChangeAspect="1"/>
                    </pic:cNvPicPr>
                  </pic:nvPicPr>
                  <pic:blipFill>
                    <a:blip r:embed="rId565"/>
                    <a:stretch>
                      <a:fillRect/>
                    </a:stretch>
                  </pic:blipFill>
                  <pic:spPr>
                    <a:xfrm>
                      <a:off x="0" y="0"/>
                      <a:ext cx="203200" cy="203200"/>
                    </a:xfrm>
                    <a:prstGeom prst="rect">
                      <a:avLst/>
                    </a:prstGeom>
                    <a:noFill/>
                    <a:ln>
                      <a:noFill/>
                    </a:ln>
                  </pic:spPr>
                </pic:pic>
              </a:graphicData>
            </a:graphic>
          </wp:inline>
        </w:drawing>
      </w:r>
      <w:r>
        <w:t>是在已有的试验研究基础上确定的，由于高延性混凝土弹性模量较低，在同样变形下强度发挥程度较普通混凝土低，因此该系数取值比现行国家标准《混凝土结构加固设计规范》GB 50367中普通混凝土的取值偏低。</w:t>
      </w:r>
    </w:p>
    <w:p w14:paraId="6A3744A8">
      <w:pPr>
        <w:pStyle w:val="4"/>
      </w:pPr>
      <w:r>
        <w:t>根据国家标准《混凝土结构加固设计规范》GB 50367</w:t>
      </w:r>
      <w:r>
        <w:rPr>
          <w:rFonts w:hint="eastAsia"/>
        </w:rPr>
        <w:t>-2013第5.4.1条</w:t>
      </w:r>
      <w:r>
        <w:t>条文说明，该系数的精确算法必须建立在对原构件应力水平的精确估算上，这在实际操作中很难做到，且限于设计人员技术水平的不同，对实际荷载的估算结果往往因人而异，若遇到事后复查，很难辨明是非。</w:t>
      </w:r>
    </w:p>
    <w:p w14:paraId="6551DAB6">
      <w:pPr>
        <w:pStyle w:val="4"/>
      </w:pPr>
      <w:r>
        <w:t>本系数的取值是以现有的试验结果为依据，也考虑到试验所考虑的情况还不够充分，因此在条文中注明“当有充分试验依据时，</w:t>
      </w:r>
      <w:r>
        <w:rPr>
          <w:position w:val="-10"/>
        </w:rPr>
        <w:drawing>
          <wp:inline distT="0" distB="0" distL="114300" distR="114300">
            <wp:extent cx="203200" cy="203200"/>
            <wp:effectExtent l="0" t="0" r="10160" b="12065"/>
            <wp:docPr id="44"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68"/>
                    <pic:cNvPicPr>
                      <a:picLocks noChangeAspect="1"/>
                    </pic:cNvPicPr>
                  </pic:nvPicPr>
                  <pic:blipFill>
                    <a:blip r:embed="rId566"/>
                    <a:stretch>
                      <a:fillRect/>
                    </a:stretch>
                  </pic:blipFill>
                  <pic:spPr>
                    <a:xfrm>
                      <a:off x="0" y="0"/>
                      <a:ext cx="203200" cy="203200"/>
                    </a:xfrm>
                    <a:prstGeom prst="rect">
                      <a:avLst/>
                    </a:prstGeom>
                    <a:noFill/>
                    <a:ln>
                      <a:noFill/>
                    </a:ln>
                  </pic:spPr>
                </pic:pic>
              </a:graphicData>
            </a:graphic>
          </wp:inline>
        </w:drawing>
      </w:r>
      <w:r>
        <w:t>值可做适当调整。</w:t>
      </w:r>
    </w:p>
    <w:p w14:paraId="104077B9">
      <w:pPr>
        <w:pStyle w:val="3"/>
      </w:pPr>
      <w:bookmarkStart w:id="1544" w:name="_Toc15057"/>
      <w:bookmarkStart w:id="1545" w:name="_Toc63348902"/>
      <w:bookmarkStart w:id="1546" w:name="_Toc54255400"/>
      <w:bookmarkStart w:id="1547" w:name="_Toc25070534"/>
      <w:bookmarkStart w:id="1548" w:name="_Toc67330722"/>
      <w:bookmarkStart w:id="1549" w:name="_Toc10700"/>
      <w:bookmarkStart w:id="1550" w:name="_Toc19545690"/>
      <w:bookmarkStart w:id="1551" w:name="_Toc54256504"/>
      <w:bookmarkStart w:id="1552" w:name="_Toc32865057"/>
      <w:bookmarkStart w:id="1553" w:name="_Toc48210272"/>
      <w:bookmarkStart w:id="1554" w:name="_Toc79615746"/>
      <w:bookmarkStart w:id="1555" w:name="_Toc32848296"/>
      <w:bookmarkStart w:id="1556" w:name="_Toc18257"/>
      <w:bookmarkStart w:id="1557" w:name="_Toc38368534"/>
      <w:bookmarkStart w:id="1558" w:name="_Toc207111772"/>
      <w:bookmarkStart w:id="1559" w:name="_Toc70169787"/>
      <w:bookmarkStart w:id="1560" w:name="_Toc25690797"/>
      <w:bookmarkStart w:id="1561" w:name="_Toc52264472"/>
      <w:bookmarkStart w:id="1562" w:name="_Toc32828434"/>
      <w:bookmarkStart w:id="1563" w:name="_Toc38352905"/>
      <w:bookmarkStart w:id="1564" w:name="_Toc54255687"/>
      <w:bookmarkStart w:id="1565" w:name="_Toc48138868"/>
      <w:bookmarkStart w:id="1566" w:name="_Toc27364"/>
      <w:bookmarkStart w:id="1567" w:name="_Toc29843"/>
      <w:bookmarkStart w:id="1568" w:name="_Toc30350"/>
      <w:bookmarkStart w:id="1569" w:name="_Toc70169867"/>
      <w:bookmarkStart w:id="1570" w:name="_Toc63348978"/>
      <w:bookmarkStart w:id="1571" w:name="_Toc54256623"/>
      <w:bookmarkStart w:id="1572" w:name="_Toc48210497"/>
      <w:bookmarkStart w:id="1573" w:name="_Toc70169199"/>
      <w:r>
        <w:t xml:space="preserve">6.6  </w:t>
      </w:r>
      <w:r>
        <w:rPr>
          <w:bCs/>
        </w:rPr>
        <w:t>构造要求</w:t>
      </w:r>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p>
    <w:p w14:paraId="143DB480">
      <w:pPr>
        <w:pStyle w:val="4"/>
      </w:pPr>
      <w:r>
        <w:rPr>
          <w:b/>
        </w:rPr>
        <w:t>6.6.1~6.6.</w:t>
      </w:r>
      <w:r>
        <w:rPr>
          <w:rFonts w:hint="eastAsia"/>
          <w:b/>
        </w:rPr>
        <w:t>4</w:t>
      </w:r>
      <w:r>
        <w:rPr>
          <w:b/>
        </w:rPr>
        <w:t xml:space="preserve">  </w:t>
      </w:r>
      <w:r>
        <w:t>这几条主要是根据高延性混凝土加固工程的实践经验和有关试验研究资料作出的规定，其目的是保证原构件与新增高延性混凝土之间的协同工作，保证力的可靠传递，从而达到良好的加固效果。</w:t>
      </w:r>
    </w:p>
    <w:p w14:paraId="1E424022">
      <w:pPr>
        <w:ind w:firstLine="420"/>
      </w:pPr>
      <w:r>
        <w:t>另外应指出的是，纯环氧树脂配置的砂浆，由于未经改性，很快便开始变脆，而且耐久性很差，故不应在承重结构植筋中使用。而所谓的无机锚固剂，由于粘接性能极差，几乎全靠膨胀剂起摩阻作用，不能保证后锚固件的安全工作，故也应予以禁用。</w:t>
      </w:r>
    </w:p>
    <w:bookmarkEnd w:id="1314"/>
    <w:bookmarkEnd w:id="1315"/>
    <w:bookmarkEnd w:id="1316"/>
    <w:bookmarkEnd w:id="1317"/>
    <w:p w14:paraId="6EA32394">
      <w:pPr>
        <w:spacing w:before="93" w:beforeLines="30" w:after="93" w:afterLines="30"/>
        <w:ind w:firstLine="420"/>
        <w:jc w:val="center"/>
      </w:pPr>
      <w:r>
        <w:br w:type="page"/>
      </w:r>
      <w:bookmarkStart w:id="1574" w:name="_Toc22160"/>
      <w:bookmarkStart w:id="1575" w:name="_Toc3185"/>
      <w:bookmarkStart w:id="1576" w:name="_Toc3913"/>
      <w:bookmarkStart w:id="1577" w:name="_Toc17131192"/>
      <w:bookmarkStart w:id="1578" w:name="_Toc54024119"/>
      <w:bookmarkStart w:id="1579" w:name="_Toc17278207"/>
      <w:bookmarkStart w:id="1580" w:name="_Toc18600708"/>
      <w:bookmarkStart w:id="1581" w:name="_Toc54368891"/>
      <w:bookmarkStart w:id="1582" w:name="_Toc79615747"/>
      <w:bookmarkStart w:id="1583" w:name="_Toc60835862"/>
      <w:bookmarkStart w:id="1584" w:name="_Toc54112679"/>
      <w:bookmarkStart w:id="1585" w:name="_Toc17276461"/>
      <w:bookmarkStart w:id="1586" w:name="_Toc47114700"/>
    </w:p>
    <w:p w14:paraId="25D846E4">
      <w:pPr>
        <w:pStyle w:val="2"/>
        <w:spacing w:after="312"/>
        <w:rPr>
          <w:snapToGrid w:val="0"/>
        </w:rPr>
      </w:pPr>
      <w:bookmarkStart w:id="1587" w:name="_Toc29098"/>
      <w:bookmarkStart w:id="1588" w:name="_Toc111"/>
      <w:bookmarkStart w:id="1589" w:name="_Toc25225"/>
      <w:bookmarkStart w:id="1590" w:name="_Toc207111773"/>
      <w:bookmarkStart w:id="1591" w:name="_Toc16127"/>
      <w:r>
        <w:rPr>
          <w:rFonts w:hint="eastAsia"/>
          <w:snapToGrid w:val="0"/>
        </w:rPr>
        <w:t>7  施工</w:t>
      </w:r>
      <w:bookmarkEnd w:id="1587"/>
      <w:bookmarkEnd w:id="1588"/>
      <w:bookmarkEnd w:id="1589"/>
      <w:bookmarkEnd w:id="1590"/>
      <w:bookmarkEnd w:id="1591"/>
    </w:p>
    <w:p w14:paraId="0F02C1D1">
      <w:pPr>
        <w:pStyle w:val="3"/>
        <w:rPr>
          <w:sz w:val="40"/>
        </w:rPr>
      </w:pPr>
      <w:bookmarkStart w:id="1592" w:name="_Toc2726"/>
      <w:bookmarkStart w:id="1593" w:name="_Toc14117"/>
      <w:bookmarkStart w:id="1594" w:name="_Toc32666"/>
      <w:bookmarkStart w:id="1595" w:name="_Toc207111774"/>
      <w:bookmarkStart w:id="1596" w:name="_Toc29850"/>
      <w:r>
        <w:t>7.1  一般规定</w:t>
      </w:r>
      <w:bookmarkEnd w:id="1592"/>
      <w:bookmarkEnd w:id="1593"/>
      <w:bookmarkEnd w:id="1594"/>
      <w:bookmarkEnd w:id="1595"/>
      <w:bookmarkEnd w:id="1596"/>
    </w:p>
    <w:bookmarkEnd w:id="1574"/>
    <w:bookmarkEnd w:id="1575"/>
    <w:bookmarkEnd w:id="1576"/>
    <w:bookmarkEnd w:id="1577"/>
    <w:bookmarkEnd w:id="1578"/>
    <w:bookmarkEnd w:id="1579"/>
    <w:bookmarkEnd w:id="1580"/>
    <w:bookmarkEnd w:id="1581"/>
    <w:bookmarkEnd w:id="1582"/>
    <w:bookmarkEnd w:id="1583"/>
    <w:bookmarkEnd w:id="1584"/>
    <w:bookmarkEnd w:id="1585"/>
    <w:bookmarkEnd w:id="1586"/>
    <w:p w14:paraId="77D23847">
      <w:pPr>
        <w:pStyle w:val="4"/>
        <w:rPr>
          <w:b/>
        </w:rPr>
      </w:pPr>
      <w:r>
        <w:rPr>
          <w:b/>
        </w:rPr>
        <w:t xml:space="preserve">7.1.1  </w:t>
      </w:r>
      <w:r>
        <w:t>采用高延性混凝土加固</w:t>
      </w:r>
      <w:r>
        <w:rPr>
          <w:rFonts w:hint="eastAsia"/>
        </w:rPr>
        <w:t>砌体构件</w:t>
      </w:r>
      <w:r>
        <w:t>一般不需要配置钢筋，施工工序少，施工方法主要为人工</w:t>
      </w:r>
      <w:r>
        <w:rPr>
          <w:rFonts w:hint="eastAsia"/>
        </w:rPr>
        <w:t>抹压</w:t>
      </w:r>
      <w:r>
        <w:t>，施工方法简单。但高延性混凝土加固</w:t>
      </w:r>
      <w:r>
        <w:rPr>
          <w:rFonts w:hint="eastAsia"/>
        </w:rPr>
        <w:t>砌体构件</w:t>
      </w:r>
      <w:r>
        <w:t>主要是利用高延性混凝土的性能优势提高砌体的整体性和承载能力，因此在施工过程中应注意加固面的清理要干净，并要养护到位，保证高延性混凝土性能的可靠。</w:t>
      </w:r>
    </w:p>
    <w:p w14:paraId="56C5F553">
      <w:pPr>
        <w:pStyle w:val="4"/>
      </w:pPr>
      <w:r>
        <w:rPr>
          <w:b/>
        </w:rPr>
        <w:t xml:space="preserve">7.1.2  </w:t>
      </w:r>
      <w:r>
        <w:t>本条较具体地规定了高延性混凝土加固</w:t>
      </w:r>
      <w:r>
        <w:rPr>
          <w:rFonts w:hint="eastAsia"/>
        </w:rPr>
        <w:t>砌体构件</w:t>
      </w:r>
      <w:r>
        <w:t>工程施工质量控制的主要内容。施工单位每道工序完成后，除了应进行自检并应由专职质量检验员检查外，还强调了工序交接检查，上道工序应满足下道工序的施工条件和要求；同样，相关专业工序之间也应进行中间交接检查，使各工序间和各相关专业工程之间形成一个有机的整体。</w:t>
      </w:r>
    </w:p>
    <w:p w14:paraId="036162F9">
      <w:pPr>
        <w:pStyle w:val="4"/>
      </w:pPr>
      <w:r>
        <w:rPr>
          <w:b/>
        </w:rPr>
        <w:t xml:space="preserve">7.1.3  </w:t>
      </w:r>
      <w:r>
        <w:t>采用增大截面法加固，考虑到界面处理对能否保证新旧材料的共同工作十分重要，因此，界面如何处理，应由设计单位提出具体要求。一般情况下，对原混凝土表面凿毛，对墙、板等表面面积较大的构件宜按构造要求设置剪切销钉进一步提升加固的高延性混凝土与原构件的共同工作能力。</w:t>
      </w:r>
    </w:p>
    <w:p w14:paraId="4A1E9A90">
      <w:pPr>
        <w:ind w:firstLine="420"/>
      </w:pPr>
      <w:bookmarkStart w:id="1597" w:name="_Toc25691070"/>
      <w:bookmarkStart w:id="1598" w:name="_Toc25690799"/>
      <w:r>
        <w:t>因为界面处理得好坏对加固层与原构件之间的协同工作有很大影响，因此应特别注意加固面要凿毛处理，且清理要干净，并要养护到位，保证高延性混凝土加固的可靠性。</w:t>
      </w:r>
      <w:bookmarkEnd w:id="1597"/>
      <w:bookmarkEnd w:id="1598"/>
    </w:p>
    <w:p w14:paraId="131C5152">
      <w:pPr>
        <w:pStyle w:val="3"/>
      </w:pPr>
      <w:bookmarkStart w:id="1599" w:name="_Toc19427"/>
      <w:bookmarkStart w:id="1600" w:name="_Toc54112682"/>
      <w:bookmarkStart w:id="1601" w:name="_Toc46170114"/>
      <w:bookmarkStart w:id="1602" w:name="_Toc54024122"/>
      <w:bookmarkStart w:id="1603" w:name="_Toc54368894"/>
      <w:bookmarkStart w:id="1604" w:name="_Toc60835865"/>
      <w:bookmarkStart w:id="1605" w:name="_Toc32220271"/>
      <w:bookmarkStart w:id="1606" w:name="_Toc46169648"/>
      <w:bookmarkStart w:id="1607" w:name="_Toc15297"/>
      <w:bookmarkStart w:id="1608" w:name="_Toc26808"/>
      <w:bookmarkStart w:id="1609" w:name="_Toc13420"/>
      <w:bookmarkStart w:id="1610" w:name="_Toc26791"/>
      <w:bookmarkStart w:id="1611" w:name="_Toc207111775"/>
      <w:bookmarkStart w:id="1612" w:name="_Toc23543"/>
      <w:bookmarkStart w:id="1613" w:name="_Toc24524"/>
      <w:bookmarkStart w:id="1614" w:name="_Toc79615750"/>
      <w:r>
        <w:t>7.</w:t>
      </w:r>
      <w:r>
        <w:rPr>
          <w:rFonts w:hint="eastAsia"/>
        </w:rPr>
        <w:t>2</w:t>
      </w:r>
      <w:r>
        <w:t xml:space="preserve">  </w:t>
      </w:r>
      <w:bookmarkEnd w:id="1599"/>
      <w:bookmarkEnd w:id="1600"/>
      <w:bookmarkEnd w:id="1601"/>
      <w:bookmarkEnd w:id="1602"/>
      <w:bookmarkEnd w:id="1603"/>
      <w:bookmarkEnd w:id="1604"/>
      <w:bookmarkEnd w:id="1605"/>
      <w:bookmarkEnd w:id="1606"/>
      <w:r>
        <w:rPr>
          <w:bCs/>
        </w:rPr>
        <w:t>施工要点</w:t>
      </w:r>
      <w:bookmarkEnd w:id="1607"/>
      <w:bookmarkEnd w:id="1608"/>
      <w:bookmarkEnd w:id="1609"/>
      <w:bookmarkEnd w:id="1610"/>
      <w:bookmarkEnd w:id="1611"/>
      <w:bookmarkEnd w:id="1612"/>
      <w:bookmarkEnd w:id="1613"/>
      <w:bookmarkEnd w:id="1614"/>
    </w:p>
    <w:p w14:paraId="40686372">
      <w:pPr>
        <w:pStyle w:val="4"/>
        <w:rPr>
          <w:b/>
        </w:rPr>
      </w:pPr>
      <w:r>
        <w:rPr>
          <w:b/>
        </w:rPr>
        <w:t>7</w:t>
      </w:r>
      <w:r>
        <w:rPr>
          <w:rFonts w:hint="eastAsia"/>
          <w:b/>
        </w:rPr>
        <w:t>.2</w:t>
      </w:r>
      <w:r>
        <w:rPr>
          <w:b/>
        </w:rPr>
        <w:t xml:space="preserve">.1  </w:t>
      </w:r>
      <w:r>
        <w:t>高延性混凝土加固结构构件主要是利用高延性混凝土的性能优势以及加固面层与原构件之间良好的协同工作能力来提高砌体的整体性和承载能力，因此在施工过程中应注意加固面的清理要干净，保证高延性混凝土与原构件之间的共同工作性能。</w:t>
      </w:r>
    </w:p>
    <w:p w14:paraId="7FBBF024">
      <w:pPr>
        <w:pStyle w:val="4"/>
      </w:pPr>
      <w:r>
        <w:rPr>
          <w:b/>
        </w:rPr>
        <w:t>7.</w:t>
      </w:r>
      <w:r>
        <w:rPr>
          <w:rFonts w:hint="eastAsia"/>
          <w:b/>
        </w:rPr>
        <w:t>2.6</w:t>
      </w:r>
      <w:r>
        <w:rPr>
          <w:b/>
        </w:rPr>
        <w:t xml:space="preserve">  </w:t>
      </w:r>
      <w:r>
        <w:t>为了保证纤维均匀分散在高延性混凝土基体中，宜采用纤维后掺法，将不含纤维的母料</w:t>
      </w:r>
      <w:r>
        <w:rPr>
          <w:rFonts w:hint="eastAsia"/>
        </w:rPr>
        <w:t>，包括</w:t>
      </w:r>
      <w:r>
        <w:t>骨料、水泥、矿物掺合料等</w:t>
      </w:r>
      <w:r>
        <w:rPr>
          <w:rFonts w:hint="eastAsia"/>
        </w:rPr>
        <w:t>，</w:t>
      </w:r>
      <w:r>
        <w:t>加水搅拌均匀以后，再加入纤维搅拌，使纤维完全分散均匀无结块。且搅拌机必须采用强制式搅拌机，搅拌时间应较普通混凝土长，搅拌机转速可适当调高。</w:t>
      </w:r>
    </w:p>
    <w:p w14:paraId="67F88C36">
      <w:pPr>
        <w:pStyle w:val="3"/>
      </w:pPr>
      <w:bookmarkStart w:id="1615" w:name="_Toc32220272"/>
      <w:bookmarkStart w:id="1616" w:name="_Toc24696"/>
      <w:bookmarkStart w:id="1617" w:name="_Toc14779"/>
      <w:bookmarkStart w:id="1618" w:name="_Toc60835866"/>
      <w:bookmarkStart w:id="1619" w:name="_Toc46170115"/>
      <w:bookmarkStart w:id="1620" w:name="_Toc12950"/>
      <w:bookmarkStart w:id="1621" w:name="_Toc690"/>
      <w:bookmarkStart w:id="1622" w:name="_Toc11705"/>
      <w:bookmarkStart w:id="1623" w:name="_Toc207111776"/>
      <w:bookmarkStart w:id="1624" w:name="_Toc79615751"/>
      <w:bookmarkStart w:id="1625" w:name="_Toc20395"/>
      <w:bookmarkStart w:id="1626" w:name="_Toc54112683"/>
      <w:bookmarkStart w:id="1627" w:name="_Toc46169649"/>
      <w:bookmarkStart w:id="1628" w:name="_Toc54024123"/>
      <w:bookmarkStart w:id="1629" w:name="_Toc7637"/>
      <w:bookmarkStart w:id="1630" w:name="_Toc54368895"/>
      <w:r>
        <w:t>7.</w:t>
      </w:r>
      <w:r>
        <w:rPr>
          <w:rFonts w:hint="eastAsia"/>
        </w:rPr>
        <w:t>3</w:t>
      </w:r>
      <w:r>
        <w:t xml:space="preserve">  </w:t>
      </w:r>
      <w:r>
        <w:rPr>
          <w:bCs/>
        </w:rPr>
        <w:t>季节性施工</w:t>
      </w:r>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p>
    <w:p w14:paraId="4527ECA0">
      <w:pPr>
        <w:pStyle w:val="4"/>
        <w:rPr>
          <w:b/>
        </w:rPr>
      </w:pPr>
      <w:r>
        <w:rPr>
          <w:b/>
        </w:rPr>
        <w:t>7.</w:t>
      </w:r>
      <w:r>
        <w:rPr>
          <w:rFonts w:hint="eastAsia"/>
          <w:b/>
        </w:rPr>
        <w:t>3</w:t>
      </w:r>
      <w:r>
        <w:rPr>
          <w:b/>
        </w:rPr>
        <w:t>.</w:t>
      </w:r>
      <w:r>
        <w:rPr>
          <w:rFonts w:hint="eastAsia"/>
          <w:b/>
        </w:rPr>
        <w:t>2</w:t>
      </w:r>
      <w:r>
        <w:rPr>
          <w:b/>
        </w:rPr>
        <w:t xml:space="preserve">  </w:t>
      </w:r>
      <w:r>
        <w:rPr>
          <w:rFonts w:hint="eastAsia"/>
        </w:rPr>
        <w:t>行业标准</w:t>
      </w:r>
      <w:r>
        <w:t>《建筑工程冬期施工规程》JGJ/T 104中关于冬期施工期限划分原则是：根据当地多年气象资料统计，当室外日平均气温连续5d稳定低于5℃即进入冬期施工，当室外日平均气温连续5d高于5℃即解除冬期施工。</w:t>
      </w:r>
    </w:p>
    <w:p w14:paraId="27AD9D61">
      <w:pPr>
        <w:spacing w:before="93" w:beforeLines="30" w:after="93" w:afterLines="30"/>
        <w:ind w:firstLine="420"/>
        <w:jc w:val="center"/>
      </w:pPr>
      <w:r>
        <w:br w:type="page"/>
      </w:r>
      <w:bookmarkStart w:id="1631" w:name="_Toc15621"/>
      <w:bookmarkStart w:id="1632" w:name="_Toc54368896"/>
      <w:bookmarkStart w:id="1633" w:name="_Toc46169650"/>
      <w:bookmarkStart w:id="1634" w:name="_Toc54112684"/>
      <w:bookmarkStart w:id="1635" w:name="_Toc24764"/>
      <w:bookmarkStart w:id="1636" w:name="_Toc54024124"/>
      <w:bookmarkStart w:id="1637" w:name="_Toc18090"/>
      <w:bookmarkStart w:id="1638" w:name="_Toc46170116"/>
      <w:bookmarkStart w:id="1639" w:name="_Toc79615752"/>
      <w:bookmarkStart w:id="1640" w:name="_Toc32220273"/>
      <w:bookmarkStart w:id="1641" w:name="_Toc60835867"/>
    </w:p>
    <w:p w14:paraId="3FFB17B8">
      <w:pPr>
        <w:pStyle w:val="2"/>
        <w:spacing w:after="312"/>
        <w:rPr>
          <w:snapToGrid w:val="0"/>
        </w:rPr>
      </w:pPr>
      <w:bookmarkStart w:id="1642" w:name="_Toc29578"/>
      <w:bookmarkStart w:id="1643" w:name="_Toc31313"/>
      <w:bookmarkStart w:id="1644" w:name="_Toc1584"/>
      <w:bookmarkStart w:id="1645" w:name="_Toc207111777"/>
      <w:bookmarkStart w:id="1646" w:name="_Toc21646"/>
      <w:r>
        <w:rPr>
          <w:rFonts w:hint="eastAsia"/>
          <w:snapToGrid w:val="0"/>
        </w:rPr>
        <w:t>8  质量验收</w:t>
      </w:r>
      <w:bookmarkEnd w:id="1642"/>
      <w:bookmarkEnd w:id="1643"/>
      <w:bookmarkEnd w:id="1644"/>
      <w:bookmarkEnd w:id="1645"/>
      <w:bookmarkEnd w:id="1646"/>
    </w:p>
    <w:p w14:paraId="3F2948CC">
      <w:pPr>
        <w:pStyle w:val="3"/>
      </w:pPr>
      <w:bookmarkStart w:id="1647" w:name="_Toc16846"/>
      <w:bookmarkStart w:id="1648" w:name="_Toc17421"/>
      <w:bookmarkStart w:id="1649" w:name="_Toc21475"/>
      <w:bookmarkStart w:id="1650" w:name="_Toc30009"/>
      <w:bookmarkStart w:id="1651" w:name="_Toc207111778"/>
      <w:r>
        <w:rPr>
          <w:rFonts w:hint="eastAsia"/>
        </w:rPr>
        <w:t xml:space="preserve">8.1  </w:t>
      </w:r>
      <w:r>
        <w:rPr>
          <w:rFonts w:hint="eastAsia"/>
          <w:bCs/>
        </w:rPr>
        <w:t>一般规定</w:t>
      </w:r>
      <w:bookmarkEnd w:id="1647"/>
      <w:bookmarkEnd w:id="1648"/>
      <w:bookmarkEnd w:id="1649"/>
      <w:bookmarkEnd w:id="1650"/>
      <w:bookmarkEnd w:id="1651"/>
    </w:p>
    <w:bookmarkEnd w:id="1631"/>
    <w:bookmarkEnd w:id="1632"/>
    <w:bookmarkEnd w:id="1633"/>
    <w:bookmarkEnd w:id="1634"/>
    <w:bookmarkEnd w:id="1635"/>
    <w:bookmarkEnd w:id="1636"/>
    <w:bookmarkEnd w:id="1637"/>
    <w:bookmarkEnd w:id="1638"/>
    <w:bookmarkEnd w:id="1639"/>
    <w:bookmarkEnd w:id="1640"/>
    <w:bookmarkEnd w:id="1641"/>
    <w:p w14:paraId="2DDA8CE8">
      <w:pPr>
        <w:pStyle w:val="4"/>
      </w:pPr>
      <w:r>
        <w:rPr>
          <w:b/>
        </w:rPr>
        <w:t xml:space="preserve">8.1.3  </w:t>
      </w:r>
      <w:r>
        <w:t>本条规定了检验批的抽样要求。大面积房间和走廊按30m</w:t>
      </w:r>
      <w:r>
        <w:rPr>
          <w:vertAlign w:val="superscript"/>
        </w:rPr>
        <w:t>2</w:t>
      </w:r>
      <w:r>
        <w:rPr>
          <w:rFonts w:hint="eastAsia"/>
        </w:rPr>
        <w:t>可</w:t>
      </w:r>
      <w:r>
        <w:t>为一自然间</w:t>
      </w:r>
      <w:r>
        <w:rPr>
          <w:rFonts w:hint="eastAsia"/>
        </w:rPr>
        <w:t>。</w:t>
      </w:r>
      <w:r>
        <w:t>随机抽取，是指检验批中的每个样本都具有相同的被抽取到的几率；分布均匀，是指被抽取的样本在总体样本中的分布应大致均匀；具有代表性，是指被抽取的样本质量能够代表大多数样本的总体质量状况。</w:t>
      </w:r>
    </w:p>
    <w:p w14:paraId="345C6F1B">
      <w:pPr>
        <w:ind w:firstLine="420"/>
      </w:pPr>
      <w:r>
        <w:t>现行国家标准《建筑工程施工质量验收统一标准》GB 50300规定，明显不合格的个体可不纳入检验批，但应进行处理并重新验收。检验批中明显不符合要求的个体通常可通过目测观察或简单的测试确定，这些个体的检验指标往往与其他个体存在较大差异，纳入检验批后会增大验收结果的离散性，影响整体质量水平的客观评价。</w:t>
      </w:r>
    </w:p>
    <w:p w14:paraId="591F3BF1">
      <w:pPr>
        <w:pStyle w:val="4"/>
      </w:pPr>
      <w:r>
        <w:rPr>
          <w:b/>
        </w:rPr>
        <w:t>8.1.4~8.1.6</w:t>
      </w:r>
      <w:r>
        <w:t xml:space="preserve">  这三条规定根据现行国家标准《建筑工程施工质量验收统一标准》GB 50300关于建筑工程质量验收原则制定，具体可参照该标准有关条文说明。</w:t>
      </w:r>
    </w:p>
    <w:p w14:paraId="1E4B844A">
      <w:pPr>
        <w:pStyle w:val="3"/>
      </w:pPr>
      <w:bookmarkStart w:id="1652" w:name="_Toc32865040"/>
      <w:bookmarkStart w:id="1653" w:name="_Toc14925"/>
      <w:bookmarkStart w:id="1654" w:name="_Toc54255672"/>
      <w:bookmarkStart w:id="1655" w:name="_Toc11096"/>
      <w:bookmarkStart w:id="1656" w:name="_Toc18839"/>
      <w:bookmarkStart w:id="1657" w:name="_Toc52264457"/>
      <w:bookmarkStart w:id="1658" w:name="_Toc29628"/>
      <w:bookmarkStart w:id="1659" w:name="_Toc54256489"/>
      <w:bookmarkStart w:id="1660" w:name="_Toc12198"/>
      <w:bookmarkStart w:id="1661" w:name="_Toc207111779"/>
      <w:bookmarkStart w:id="1662" w:name="_Toc54255385"/>
      <w:bookmarkStart w:id="1663" w:name="_Toc48210482"/>
      <w:bookmarkStart w:id="1664" w:name="_Toc54256608"/>
      <w:bookmarkStart w:id="1665" w:name="_Toc48138853"/>
      <w:bookmarkStart w:id="1666" w:name="_Toc48210257"/>
      <w:bookmarkStart w:id="1667" w:name="_Toc2453"/>
      <w:bookmarkStart w:id="1668" w:name="_Toc54256689"/>
      <w:bookmarkStart w:id="1669" w:name="_Toc38368519"/>
      <w:bookmarkStart w:id="1670" w:name="_Toc38352888"/>
      <w:bookmarkStart w:id="1671" w:name="_Toc6594"/>
      <w:bookmarkStart w:id="1672" w:name="_Toc79615754"/>
      <w:r>
        <w:t xml:space="preserve">8.2  </w:t>
      </w:r>
      <w:r>
        <w:rPr>
          <w:bCs/>
        </w:rPr>
        <w:t>材料</w:t>
      </w:r>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p>
    <w:p w14:paraId="521EC866">
      <w:pPr>
        <w:pStyle w:val="4"/>
      </w:pPr>
      <w:bookmarkStart w:id="1673" w:name="_Toc38352890"/>
      <w:bookmarkStart w:id="1674" w:name="_Toc32865042"/>
      <w:r>
        <w:rPr>
          <w:b/>
        </w:rPr>
        <w:t>8.2.1</w:t>
      </w:r>
      <w:r>
        <w:t xml:space="preserve">  本条给出了进场检验的一些具体规定</w:t>
      </w:r>
      <w:r>
        <w:rPr>
          <w:rFonts w:hint="eastAsia"/>
        </w:rPr>
        <w:t>。需特别说明，进场核验的型式检验报告其检测类别应为抽样型式检验。</w:t>
      </w:r>
      <w:r>
        <w:t>材料性能的进场复检采用快速检验方法，这样可以快速地确定高延性混凝土性能指标，提高进场复检效率，为进场使用提供必要的依据。</w:t>
      </w:r>
    </w:p>
    <w:p w14:paraId="01FACFC5">
      <w:pPr>
        <w:pStyle w:val="5"/>
        <w:spacing w:after="312"/>
        <w:ind w:firstLine="560"/>
      </w:pPr>
    </w:p>
    <w:p w14:paraId="0E015C76">
      <w:pPr>
        <w:pStyle w:val="10"/>
        <w:spacing w:after="312"/>
        <w:ind w:firstLine="480"/>
      </w:pPr>
    </w:p>
    <w:bookmarkEnd w:id="1673"/>
    <w:bookmarkEnd w:id="1674"/>
    <w:p w14:paraId="6544CE91">
      <w:pPr>
        <w:spacing w:before="93" w:beforeLines="30" w:after="93" w:afterLines="30"/>
        <w:ind w:firstLine="420"/>
        <w:jc w:val="center"/>
        <w:outlineLvl w:val="0"/>
      </w:pPr>
      <w:r>
        <w:br w:type="page"/>
      </w:r>
      <w:bookmarkStart w:id="1675" w:name="_Toc11231"/>
      <w:bookmarkStart w:id="1676" w:name="_Toc1234"/>
      <w:bookmarkStart w:id="1677" w:name="_Toc79615755"/>
      <w:bookmarkStart w:id="1678" w:name="_Toc54368900"/>
      <w:bookmarkStart w:id="1679" w:name="_Toc54112688"/>
      <w:bookmarkStart w:id="1680" w:name="_Toc47114703"/>
      <w:bookmarkStart w:id="1681" w:name="_Toc54024128"/>
      <w:bookmarkStart w:id="1682" w:name="_Toc60835871"/>
      <w:bookmarkStart w:id="1683" w:name="_Toc17131203"/>
      <w:bookmarkStart w:id="1684" w:name="_Toc17278214"/>
      <w:bookmarkStart w:id="1685" w:name="_Toc871"/>
      <w:bookmarkStart w:id="1686" w:name="_Toc18600713"/>
      <w:bookmarkStart w:id="1687" w:name="_Toc17276468"/>
    </w:p>
    <w:p w14:paraId="0C97F05D">
      <w:pPr>
        <w:pStyle w:val="2"/>
        <w:spacing w:after="312"/>
        <w:rPr>
          <w:snapToGrid w:val="0"/>
        </w:rPr>
      </w:pPr>
      <w:bookmarkStart w:id="1688" w:name="_Toc207111780"/>
      <w:bookmarkStart w:id="1689" w:name="_Toc30782"/>
      <w:bookmarkStart w:id="1690" w:name="_Toc29497"/>
      <w:r>
        <w:rPr>
          <w:rFonts w:hint="eastAsia"/>
          <w:snapToGrid w:val="0"/>
        </w:rPr>
        <w:t>附录A  高延性混凝土弯曲试验方法</w:t>
      </w:r>
      <w:bookmarkEnd w:id="1688"/>
      <w:bookmarkEnd w:id="1689"/>
      <w:bookmarkEnd w:id="1690"/>
    </w:p>
    <w:bookmarkEnd w:id="1675"/>
    <w:bookmarkEnd w:id="1676"/>
    <w:bookmarkEnd w:id="1677"/>
    <w:bookmarkEnd w:id="1678"/>
    <w:bookmarkEnd w:id="1679"/>
    <w:bookmarkEnd w:id="1680"/>
    <w:bookmarkEnd w:id="1681"/>
    <w:bookmarkEnd w:id="1682"/>
    <w:bookmarkEnd w:id="1683"/>
    <w:bookmarkEnd w:id="1684"/>
    <w:bookmarkEnd w:id="1685"/>
    <w:bookmarkEnd w:id="1686"/>
    <w:bookmarkEnd w:id="1687"/>
    <w:p w14:paraId="0ECB2B95">
      <w:pPr>
        <w:ind w:firstLine="420"/>
      </w:pPr>
      <w:r>
        <w:t>本规程提出的高延性混凝土弯曲韧性试验方法，给出了标准试件尺寸为40mm×40mm×160mm。</w:t>
      </w:r>
    </w:p>
    <w:p w14:paraId="2353B8D0">
      <w:pPr>
        <w:ind w:firstLine="420"/>
      </w:pPr>
      <w:r>
        <w:t>按本规程方法对试件进行四点弯曲试验，测得其荷载—挠度曲线，计算出高延性混凝土的等效弯曲强度，再考虑试件挠曲变形对高延性混凝土弯曲韧性的影响，计算试件的等效弯曲韧性，其物理意义为试件塑性变形区域耗散的能量，与弯曲韧性的定义吻合，能更好地反映高延性混凝土的弯曲韧性。</w:t>
      </w:r>
    </w:p>
    <w:p w14:paraId="5DE5DA8E">
      <w:pPr>
        <w:spacing w:after="312" w:line="312" w:lineRule="auto"/>
        <w:ind w:firstLine="420"/>
      </w:pPr>
    </w:p>
    <w:p w14:paraId="55FE4F01">
      <w:pPr>
        <w:spacing w:before="93" w:beforeLines="30" w:after="93" w:afterLines="30"/>
        <w:ind w:firstLine="420"/>
        <w:jc w:val="center"/>
        <w:outlineLvl w:val="0"/>
      </w:pPr>
      <w:r>
        <w:br w:type="page"/>
      </w:r>
      <w:bookmarkStart w:id="1691" w:name="_Toc25690802"/>
      <w:bookmarkStart w:id="1692" w:name="_Toc2066"/>
      <w:bookmarkStart w:id="1693" w:name="_Toc32848300"/>
      <w:bookmarkStart w:id="1694" w:name="_Toc54024129"/>
      <w:bookmarkStart w:id="1695" w:name="_Toc15807"/>
      <w:bookmarkStart w:id="1696" w:name="_Toc53159525"/>
      <w:bookmarkStart w:id="1697" w:name="_Toc38352907"/>
      <w:bookmarkStart w:id="1698" w:name="_Toc53160815"/>
      <w:bookmarkStart w:id="1699" w:name="_Toc32828438"/>
      <w:bookmarkStart w:id="1700" w:name="_Toc38368538"/>
      <w:bookmarkStart w:id="1701" w:name="_Toc48138872"/>
      <w:bookmarkStart w:id="1702" w:name="_Toc32865059"/>
    </w:p>
    <w:p w14:paraId="0FFA3CB1">
      <w:pPr>
        <w:pStyle w:val="2"/>
        <w:spacing w:after="312"/>
        <w:rPr>
          <w:snapToGrid w:val="0"/>
        </w:rPr>
      </w:pPr>
      <w:bookmarkStart w:id="1703" w:name="_Toc2336"/>
      <w:bookmarkStart w:id="1704" w:name="_Toc30911"/>
      <w:bookmarkStart w:id="1705" w:name="_Toc207111782"/>
      <w:r>
        <w:rPr>
          <w:rFonts w:hint="eastAsia"/>
          <w:snapToGrid w:val="0"/>
        </w:rPr>
        <w:t>附录B  高延性混凝土抗折强度试验方法</w:t>
      </w:r>
    </w:p>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p w14:paraId="4271ADD4">
      <w:pPr>
        <w:ind w:firstLine="420"/>
      </w:pPr>
      <w:r>
        <w:rPr>
          <w:rFonts w:hint="eastAsia"/>
        </w:rPr>
        <w:t>本附录中的方法为高延性混凝土力学性能的抗折强度检验方法，主要用于高延性混凝土材料进场复验时判断材料性能是否合格。由于高延性混凝土具有多裂缝开展特点，常规的抗折强度测试方法在峰值判定上无法准确测量抗折强度峰值，本节规定了对高延性混凝土抗折强度测试的机器、判定方法进行了特殊规定。</w:t>
      </w:r>
    </w:p>
    <w:p w14:paraId="1E2687AB">
      <w:pPr>
        <w:ind w:firstLine="420"/>
      </w:pPr>
    </w:p>
    <w:sectPr>
      <w:footerReference r:id="rId12" w:type="default"/>
      <w:pgSz w:w="11906" w:h="16838"/>
      <w:pgMar w:top="1985" w:right="1985" w:bottom="1701" w:left="1985"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ì.">
    <w:altName w:val="宋体"/>
    <w:panose1 w:val="00000000000000000000"/>
    <w:charset w:val="86"/>
    <w:family w:val="auto"/>
    <w:pitch w:val="default"/>
    <w:sig w:usb0="00000000" w:usb1="00000000" w:usb2="00000000" w:usb3="00000000" w:csb0="00040000" w:csb1="00000000"/>
  </w:font>
  <w:font w:name="文鼎特粗宋体简">
    <w:altName w:val="宋体"/>
    <w:panose1 w:val="00000000000000000000"/>
    <w:charset w:val="86"/>
    <w:family w:val="roma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书宋简体">
    <w:altName w:val="宋体"/>
    <w:panose1 w:val="00000000000000000000"/>
    <w:charset w:val="86"/>
    <w:family w:val="roman"/>
    <w:pitch w:val="default"/>
    <w:sig w:usb0="00000000" w:usb1="00000000" w:usb2="00000000" w:usb3="00000000" w:csb0="00040001" w:csb1="00000000"/>
  </w:font>
  <w:font w:name="Cambria Math">
    <w:panose1 w:val="02040503050406030204"/>
    <w:charset w:val="00"/>
    <w:family w:val="roman"/>
    <w:pitch w:val="default"/>
    <w:sig w:usb0="E00006FF" w:usb1="420024FF" w:usb2="02000000" w:usb3="00000000" w:csb0="2000019F" w:csb1="00000000"/>
  </w:font>
  <w:font w:name="文鼎大标宋简">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013B8">
    <w:pPr>
      <w:pStyle w:val="18"/>
      <w:spacing w:after="120"/>
      <w:ind w:firstLine="420"/>
      <w:jc w:val="right"/>
      <w:rPr>
        <w:rFonts w:cs="Times New Roman"/>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213EB4">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2213EB4">
                    <w:pPr>
                      <w:pStyle w:val="20"/>
                    </w:pPr>
                    <w:r>
                      <w:fldChar w:fldCharType="begin"/>
                    </w:r>
                    <w:r>
                      <w:instrText xml:space="preserve"> PAGE  \* MERGEFORMAT </w:instrText>
                    </w:r>
                    <w:r>
                      <w:fldChar w:fldCharType="separate"/>
                    </w:r>
                    <w:r>
                      <w:t>1</w:t>
                    </w:r>
                    <w:r>
                      <w:fldChar w:fldCharType="end"/>
                    </w:r>
                  </w:p>
                </w:txbxContent>
              </v:textbox>
            </v:shape>
          </w:pict>
        </mc:Fallback>
      </mc:AlternateContent>
    </w:r>
  </w:p>
  <w:p w14:paraId="42116E95">
    <w:pPr>
      <w:pStyle w:val="18"/>
      <w:spacing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9522E">
    <w:pPr>
      <w:pStyle w:val="18"/>
      <w:spacing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8FA36">
    <w:pPr>
      <w:pStyle w:val="18"/>
      <w:spacing w:after="24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F5266">
    <w:pPr>
      <w:pStyle w:val="18"/>
      <w:spacing w:after="240"/>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E3F8997">
                          <w:pPr>
                            <w:pStyle w:val="18"/>
                            <w:spacing w:after="120"/>
                            <w:ind w:firstLine="360"/>
                            <w:rPr>
                              <w:rFonts w:eastAsia="宋体"/>
                            </w:rPr>
                          </w:pPr>
                          <w:r>
                            <w:fldChar w:fldCharType="begin"/>
                          </w:r>
                          <w:r>
                            <w:instrText xml:space="preserve"> PAGE  \* MERGEFORMAT </w:instrText>
                          </w:r>
                          <w:r>
                            <w:fldChar w:fldCharType="separate"/>
                          </w:r>
                          <w:r>
                            <w:t>8</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BERkUBxgEAAJsDAAAOAAAAAAAAAAEAIAAAAB4BAABkcnMvZTJvRG9jLnht&#10;bFBLBQYAAAAABgAGAFkBAABWBQAAAAA=&#10;">
              <v:fill on="f" focussize="0,0"/>
              <v:stroke on="f"/>
              <v:imagedata o:title=""/>
              <o:lock v:ext="edit" aspectratio="f"/>
              <v:textbox inset="0mm,0mm,0mm,0mm" style="mso-fit-shape-to-text:t;">
                <w:txbxContent>
                  <w:p w14:paraId="4E3F8997">
                    <w:pPr>
                      <w:pStyle w:val="18"/>
                      <w:spacing w:after="120"/>
                      <w:ind w:firstLine="360"/>
                      <w:rPr>
                        <w:rFonts w:eastAsia="宋体"/>
                      </w:rPr>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46ECA">
    <w:pPr>
      <w:spacing w:after="240" w:line="174" w:lineRule="auto"/>
      <w:ind w:left="4152" w:firstLine="360"/>
      <w:rPr>
        <w:rFonts w:eastAsia="宋体"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28F89D">
                          <w:pPr>
                            <w:pStyle w:val="18"/>
                            <w:spacing w:after="120"/>
                            <w:ind w:firstLine="360"/>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l9Rs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PrK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zl9RstAgAAVwQAAA4AAAAAAAAAAQAgAAAAHwEAAGRycy9lMm9Eb2MueG1sUEsFBgAAAAAG&#10;AAYAWQEAAL4FAAAAAA==&#10;">
              <v:fill on="f" focussize="0,0"/>
              <v:stroke on="f" weight="0.5pt"/>
              <v:imagedata o:title=""/>
              <o:lock v:ext="edit" aspectratio="f"/>
              <v:textbox inset="0mm,0mm,0mm,0mm" style="mso-fit-shape-to-text:t;">
                <w:txbxContent>
                  <w:p w14:paraId="4828F89D">
                    <w:pPr>
                      <w:pStyle w:val="18"/>
                      <w:spacing w:after="120"/>
                      <w:ind w:firstLine="360"/>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00" w:lineRule="auto"/>
        <w:ind w:firstLine="420"/>
      </w:pPr>
      <w:r>
        <w:separator/>
      </w:r>
    </w:p>
  </w:footnote>
  <w:footnote w:type="continuationSeparator" w:id="1">
    <w:p>
      <w:pPr>
        <w:spacing w:before="0" w:after="0" w:line="30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122AD">
    <w:pPr>
      <w:pStyle w:val="19"/>
      <w:pBdr>
        <w:bottom w:val="none" w:color="auto" w:sz="0" w:space="0"/>
      </w:pBdr>
      <w:spacing w:after="24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3B7B6">
    <w:pPr>
      <w:pStyle w:val="19"/>
      <w:pBdr>
        <w:bottom w:val="none" w:color="auto" w:sz="0" w:space="0"/>
      </w:pBdr>
      <w:spacing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3804F">
    <w:pPr>
      <w:pStyle w:val="19"/>
      <w:pBdr>
        <w:bottom w:val="none" w:color="auto" w:sz="0" w:space="0"/>
      </w:pBdr>
      <w:spacing w:after="24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7F5322"/>
    <w:multiLevelType w:val="multilevel"/>
    <w:tmpl w:val="2B7F5322"/>
    <w:lvl w:ilvl="0" w:tentative="0">
      <w:start w:val="1"/>
      <w:numFmt w:val="decimal"/>
      <w:lvlText w:val="%1-"/>
      <w:lvlJc w:val="left"/>
      <w:pPr>
        <w:ind w:left="360" w:hanging="360"/>
      </w:pPr>
      <w:rPr>
        <w:rFonts w:hint="default"/>
      </w:rPr>
    </w:lvl>
    <w:lvl w:ilvl="1" w:tentative="0">
      <w:start w:val="1"/>
      <w:numFmt w:val="lowerLetter"/>
      <w:pStyle w:val="58"/>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636C67C2"/>
    <w:multiLevelType w:val="multilevel"/>
    <w:tmpl w:val="636C67C2"/>
    <w:lvl w:ilvl="0" w:tentative="0">
      <w:start w:val="1"/>
      <w:numFmt w:val="decimal"/>
      <w:lvlText w:val="%1."/>
      <w:lvlJc w:val="left"/>
      <w:pPr>
        <w:tabs>
          <w:tab w:val="left" w:pos="720"/>
        </w:tabs>
        <w:ind w:left="720" w:hanging="720"/>
      </w:pPr>
    </w:lvl>
    <w:lvl w:ilvl="1" w:tentative="0">
      <w:start w:val="1"/>
      <w:numFmt w:val="decimal"/>
      <w:pStyle w:val="61"/>
      <w:lvlText w:val="%2."/>
      <w:lvlJc w:val="left"/>
      <w:pPr>
        <w:tabs>
          <w:tab w:val="left" w:pos="1440"/>
        </w:tabs>
        <w:ind w:left="1440" w:hanging="720"/>
      </w:pPr>
    </w:lvl>
    <w:lvl w:ilvl="2" w:tentative="0">
      <w:start w:val="1"/>
      <w:numFmt w:val="decimal"/>
      <w:pStyle w:val="59"/>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readOnly"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IwZjNhMTU2ODQ0YTU2MjYwNjdiN2U1MTk2YmZmZDUifQ=="/>
  </w:docVars>
  <w:rsids>
    <w:rsidRoot w:val="009E4E26"/>
    <w:rsid w:val="00001058"/>
    <w:rsid w:val="0000479D"/>
    <w:rsid w:val="0001202B"/>
    <w:rsid w:val="000153C3"/>
    <w:rsid w:val="0002119B"/>
    <w:rsid w:val="00022CB7"/>
    <w:rsid w:val="00025CCA"/>
    <w:rsid w:val="000309B2"/>
    <w:rsid w:val="00034288"/>
    <w:rsid w:val="00037A2A"/>
    <w:rsid w:val="00046B61"/>
    <w:rsid w:val="00051575"/>
    <w:rsid w:val="00052341"/>
    <w:rsid w:val="000619A4"/>
    <w:rsid w:val="0007446B"/>
    <w:rsid w:val="0007542C"/>
    <w:rsid w:val="00076B4B"/>
    <w:rsid w:val="00077B66"/>
    <w:rsid w:val="00091427"/>
    <w:rsid w:val="00093B1A"/>
    <w:rsid w:val="000A07E1"/>
    <w:rsid w:val="000A1154"/>
    <w:rsid w:val="000A1F64"/>
    <w:rsid w:val="000A6281"/>
    <w:rsid w:val="000B3A5F"/>
    <w:rsid w:val="000B53CA"/>
    <w:rsid w:val="000B5E5E"/>
    <w:rsid w:val="000C213B"/>
    <w:rsid w:val="000D1851"/>
    <w:rsid w:val="000D73E5"/>
    <w:rsid w:val="000E3A4E"/>
    <w:rsid w:val="000F439B"/>
    <w:rsid w:val="00100C1D"/>
    <w:rsid w:val="001025EC"/>
    <w:rsid w:val="00104D6F"/>
    <w:rsid w:val="00105E77"/>
    <w:rsid w:val="00106E19"/>
    <w:rsid w:val="00107C8D"/>
    <w:rsid w:val="0011097E"/>
    <w:rsid w:val="00113CFC"/>
    <w:rsid w:val="00115EBC"/>
    <w:rsid w:val="001205F0"/>
    <w:rsid w:val="00121A68"/>
    <w:rsid w:val="0012337C"/>
    <w:rsid w:val="001244D1"/>
    <w:rsid w:val="0013455C"/>
    <w:rsid w:val="001407AF"/>
    <w:rsid w:val="00151E68"/>
    <w:rsid w:val="00156D64"/>
    <w:rsid w:val="00156D6C"/>
    <w:rsid w:val="00165242"/>
    <w:rsid w:val="00165335"/>
    <w:rsid w:val="0016631D"/>
    <w:rsid w:val="00172C3A"/>
    <w:rsid w:val="00173C57"/>
    <w:rsid w:val="00176B31"/>
    <w:rsid w:val="00176B40"/>
    <w:rsid w:val="00176FA2"/>
    <w:rsid w:val="00181866"/>
    <w:rsid w:val="00186816"/>
    <w:rsid w:val="00193B81"/>
    <w:rsid w:val="00195292"/>
    <w:rsid w:val="00197425"/>
    <w:rsid w:val="00197DD9"/>
    <w:rsid w:val="001A3FC9"/>
    <w:rsid w:val="001A78F0"/>
    <w:rsid w:val="001B1310"/>
    <w:rsid w:val="001B38E3"/>
    <w:rsid w:val="001B6A25"/>
    <w:rsid w:val="001B7AED"/>
    <w:rsid w:val="001C6AC9"/>
    <w:rsid w:val="001C72DB"/>
    <w:rsid w:val="001D583F"/>
    <w:rsid w:val="001D5D51"/>
    <w:rsid w:val="001E30EE"/>
    <w:rsid w:val="001E5621"/>
    <w:rsid w:val="001E7CA7"/>
    <w:rsid w:val="001F0F80"/>
    <w:rsid w:val="002004C6"/>
    <w:rsid w:val="0020224A"/>
    <w:rsid w:val="002027A4"/>
    <w:rsid w:val="002033AE"/>
    <w:rsid w:val="00203DDA"/>
    <w:rsid w:val="002118AA"/>
    <w:rsid w:val="00213EA8"/>
    <w:rsid w:val="0021583C"/>
    <w:rsid w:val="002220AA"/>
    <w:rsid w:val="00222E47"/>
    <w:rsid w:val="00232070"/>
    <w:rsid w:val="00237C0E"/>
    <w:rsid w:val="00240803"/>
    <w:rsid w:val="00242418"/>
    <w:rsid w:val="002457D6"/>
    <w:rsid w:val="00246B5E"/>
    <w:rsid w:val="00247596"/>
    <w:rsid w:val="00252006"/>
    <w:rsid w:val="002623EB"/>
    <w:rsid w:val="00266B94"/>
    <w:rsid w:val="002670A6"/>
    <w:rsid w:val="002703DC"/>
    <w:rsid w:val="0027201A"/>
    <w:rsid w:val="00275564"/>
    <w:rsid w:val="002913DE"/>
    <w:rsid w:val="002914F1"/>
    <w:rsid w:val="002A05F9"/>
    <w:rsid w:val="002A3F61"/>
    <w:rsid w:val="002A536C"/>
    <w:rsid w:val="002A669D"/>
    <w:rsid w:val="002A686F"/>
    <w:rsid w:val="002B5DBB"/>
    <w:rsid w:val="002B74F5"/>
    <w:rsid w:val="002C1AC1"/>
    <w:rsid w:val="002C6AE1"/>
    <w:rsid w:val="002C6E53"/>
    <w:rsid w:val="002D2BEC"/>
    <w:rsid w:val="002D3564"/>
    <w:rsid w:val="002D377F"/>
    <w:rsid w:val="002D3C53"/>
    <w:rsid w:val="002D40E5"/>
    <w:rsid w:val="002D6DF6"/>
    <w:rsid w:val="002E0F61"/>
    <w:rsid w:val="002E769F"/>
    <w:rsid w:val="002F1B89"/>
    <w:rsid w:val="002F34C6"/>
    <w:rsid w:val="002F6F2B"/>
    <w:rsid w:val="002F73E6"/>
    <w:rsid w:val="0030412D"/>
    <w:rsid w:val="0030777A"/>
    <w:rsid w:val="0031705F"/>
    <w:rsid w:val="00320AD0"/>
    <w:rsid w:val="00320DF9"/>
    <w:rsid w:val="00321033"/>
    <w:rsid w:val="003221F2"/>
    <w:rsid w:val="00325DDC"/>
    <w:rsid w:val="00325E47"/>
    <w:rsid w:val="00331EF8"/>
    <w:rsid w:val="00332BAA"/>
    <w:rsid w:val="0033372D"/>
    <w:rsid w:val="00341C1B"/>
    <w:rsid w:val="0034348E"/>
    <w:rsid w:val="00344519"/>
    <w:rsid w:val="00354EAE"/>
    <w:rsid w:val="0035607E"/>
    <w:rsid w:val="003629DD"/>
    <w:rsid w:val="003662BE"/>
    <w:rsid w:val="00371D00"/>
    <w:rsid w:val="00371EEB"/>
    <w:rsid w:val="00371FFD"/>
    <w:rsid w:val="00373B40"/>
    <w:rsid w:val="00377C94"/>
    <w:rsid w:val="0038013D"/>
    <w:rsid w:val="00383C41"/>
    <w:rsid w:val="003876E1"/>
    <w:rsid w:val="00390E93"/>
    <w:rsid w:val="003920EE"/>
    <w:rsid w:val="00394672"/>
    <w:rsid w:val="00395E8D"/>
    <w:rsid w:val="0039699A"/>
    <w:rsid w:val="003A6FF5"/>
    <w:rsid w:val="003B03C4"/>
    <w:rsid w:val="003B07D5"/>
    <w:rsid w:val="003B1D85"/>
    <w:rsid w:val="003B644B"/>
    <w:rsid w:val="003B6868"/>
    <w:rsid w:val="003C018E"/>
    <w:rsid w:val="003C12A3"/>
    <w:rsid w:val="003C15B1"/>
    <w:rsid w:val="003C2347"/>
    <w:rsid w:val="003C6C5E"/>
    <w:rsid w:val="003D36DD"/>
    <w:rsid w:val="003D7533"/>
    <w:rsid w:val="003E541A"/>
    <w:rsid w:val="003E54BD"/>
    <w:rsid w:val="003E550B"/>
    <w:rsid w:val="003F05A0"/>
    <w:rsid w:val="003F2C84"/>
    <w:rsid w:val="003F4235"/>
    <w:rsid w:val="003F4FD4"/>
    <w:rsid w:val="003F69F7"/>
    <w:rsid w:val="00400470"/>
    <w:rsid w:val="00401087"/>
    <w:rsid w:val="00401D40"/>
    <w:rsid w:val="0040285D"/>
    <w:rsid w:val="00407B48"/>
    <w:rsid w:val="004111C5"/>
    <w:rsid w:val="00414801"/>
    <w:rsid w:val="00415629"/>
    <w:rsid w:val="00415EF4"/>
    <w:rsid w:val="00425FFD"/>
    <w:rsid w:val="00427590"/>
    <w:rsid w:val="00431766"/>
    <w:rsid w:val="004341E1"/>
    <w:rsid w:val="00437FA2"/>
    <w:rsid w:val="00461D70"/>
    <w:rsid w:val="00463D25"/>
    <w:rsid w:val="0046454D"/>
    <w:rsid w:val="004656F6"/>
    <w:rsid w:val="00481DE8"/>
    <w:rsid w:val="004825A3"/>
    <w:rsid w:val="00483BDB"/>
    <w:rsid w:val="00487746"/>
    <w:rsid w:val="004950CA"/>
    <w:rsid w:val="004A3A25"/>
    <w:rsid w:val="004A3A26"/>
    <w:rsid w:val="004A4FC0"/>
    <w:rsid w:val="004A6ED6"/>
    <w:rsid w:val="004B33B0"/>
    <w:rsid w:val="004B3868"/>
    <w:rsid w:val="004B5C1D"/>
    <w:rsid w:val="004B6F9B"/>
    <w:rsid w:val="004C0E8B"/>
    <w:rsid w:val="004C12DD"/>
    <w:rsid w:val="004D34CC"/>
    <w:rsid w:val="004D4C8F"/>
    <w:rsid w:val="004E1C41"/>
    <w:rsid w:val="004E5C66"/>
    <w:rsid w:val="004E5EDC"/>
    <w:rsid w:val="004E5F5E"/>
    <w:rsid w:val="004E63BA"/>
    <w:rsid w:val="004E7918"/>
    <w:rsid w:val="004F04A0"/>
    <w:rsid w:val="004F1A02"/>
    <w:rsid w:val="004F3C0F"/>
    <w:rsid w:val="004F4D3C"/>
    <w:rsid w:val="005009FA"/>
    <w:rsid w:val="00503515"/>
    <w:rsid w:val="005067F2"/>
    <w:rsid w:val="00510E77"/>
    <w:rsid w:val="005115A4"/>
    <w:rsid w:val="00521365"/>
    <w:rsid w:val="00521D0B"/>
    <w:rsid w:val="0052562A"/>
    <w:rsid w:val="00530C78"/>
    <w:rsid w:val="00534F7E"/>
    <w:rsid w:val="00535B54"/>
    <w:rsid w:val="00536558"/>
    <w:rsid w:val="00536AA8"/>
    <w:rsid w:val="005404B3"/>
    <w:rsid w:val="00547897"/>
    <w:rsid w:val="005478B0"/>
    <w:rsid w:val="00551D4F"/>
    <w:rsid w:val="00551F6F"/>
    <w:rsid w:val="00551F72"/>
    <w:rsid w:val="00554EE1"/>
    <w:rsid w:val="00555F4E"/>
    <w:rsid w:val="005615D5"/>
    <w:rsid w:val="00561A92"/>
    <w:rsid w:val="00561AA4"/>
    <w:rsid w:val="0056471F"/>
    <w:rsid w:val="0056567E"/>
    <w:rsid w:val="0056664F"/>
    <w:rsid w:val="00570EE2"/>
    <w:rsid w:val="00572F60"/>
    <w:rsid w:val="00580BFD"/>
    <w:rsid w:val="00585A96"/>
    <w:rsid w:val="0058740F"/>
    <w:rsid w:val="005878DB"/>
    <w:rsid w:val="00592978"/>
    <w:rsid w:val="00596EF3"/>
    <w:rsid w:val="00597154"/>
    <w:rsid w:val="005A1C78"/>
    <w:rsid w:val="005B0649"/>
    <w:rsid w:val="005B255A"/>
    <w:rsid w:val="005B29AB"/>
    <w:rsid w:val="005B56F0"/>
    <w:rsid w:val="005B6DB3"/>
    <w:rsid w:val="005D4127"/>
    <w:rsid w:val="005D6919"/>
    <w:rsid w:val="005D6BAA"/>
    <w:rsid w:val="005D7291"/>
    <w:rsid w:val="005E2076"/>
    <w:rsid w:val="005E79A8"/>
    <w:rsid w:val="005F0CA2"/>
    <w:rsid w:val="005F1807"/>
    <w:rsid w:val="005F23DD"/>
    <w:rsid w:val="005F57FE"/>
    <w:rsid w:val="005F61FB"/>
    <w:rsid w:val="00602D34"/>
    <w:rsid w:val="00604C41"/>
    <w:rsid w:val="006116C8"/>
    <w:rsid w:val="00614EB8"/>
    <w:rsid w:val="00620D4D"/>
    <w:rsid w:val="00625CF5"/>
    <w:rsid w:val="00632B96"/>
    <w:rsid w:val="00636123"/>
    <w:rsid w:val="006375A3"/>
    <w:rsid w:val="00654D58"/>
    <w:rsid w:val="0065577C"/>
    <w:rsid w:val="0067325F"/>
    <w:rsid w:val="00675DA1"/>
    <w:rsid w:val="006849B1"/>
    <w:rsid w:val="006855E8"/>
    <w:rsid w:val="00686E77"/>
    <w:rsid w:val="00690206"/>
    <w:rsid w:val="00690E78"/>
    <w:rsid w:val="006913B8"/>
    <w:rsid w:val="006974C9"/>
    <w:rsid w:val="006A1DA2"/>
    <w:rsid w:val="006A269B"/>
    <w:rsid w:val="006A39E9"/>
    <w:rsid w:val="006A5685"/>
    <w:rsid w:val="006B1AC0"/>
    <w:rsid w:val="006B33E5"/>
    <w:rsid w:val="006B6DC9"/>
    <w:rsid w:val="006C1DAA"/>
    <w:rsid w:val="006C41CF"/>
    <w:rsid w:val="006C43F6"/>
    <w:rsid w:val="006D14A1"/>
    <w:rsid w:val="006D5117"/>
    <w:rsid w:val="006D7934"/>
    <w:rsid w:val="006E065A"/>
    <w:rsid w:val="006E0B6F"/>
    <w:rsid w:val="006E20CD"/>
    <w:rsid w:val="006E2FB7"/>
    <w:rsid w:val="006E35D0"/>
    <w:rsid w:val="006E4B2A"/>
    <w:rsid w:val="006E5F7A"/>
    <w:rsid w:val="006F06BB"/>
    <w:rsid w:val="006F0F52"/>
    <w:rsid w:val="00703C99"/>
    <w:rsid w:val="007060DE"/>
    <w:rsid w:val="007073E3"/>
    <w:rsid w:val="00710AF9"/>
    <w:rsid w:val="00712397"/>
    <w:rsid w:val="0071616D"/>
    <w:rsid w:val="00722C4A"/>
    <w:rsid w:val="00732C9A"/>
    <w:rsid w:val="00736912"/>
    <w:rsid w:val="007372D9"/>
    <w:rsid w:val="00743E9F"/>
    <w:rsid w:val="00747BF8"/>
    <w:rsid w:val="00750C08"/>
    <w:rsid w:val="00754DD5"/>
    <w:rsid w:val="007647D5"/>
    <w:rsid w:val="00765DB0"/>
    <w:rsid w:val="00772201"/>
    <w:rsid w:val="00774C65"/>
    <w:rsid w:val="00777AB2"/>
    <w:rsid w:val="00780721"/>
    <w:rsid w:val="00780E52"/>
    <w:rsid w:val="007844C5"/>
    <w:rsid w:val="00785EDD"/>
    <w:rsid w:val="0078628D"/>
    <w:rsid w:val="00786977"/>
    <w:rsid w:val="00786F8B"/>
    <w:rsid w:val="00790E74"/>
    <w:rsid w:val="007A0997"/>
    <w:rsid w:val="007A47A0"/>
    <w:rsid w:val="007B4706"/>
    <w:rsid w:val="007C035A"/>
    <w:rsid w:val="007C2AFA"/>
    <w:rsid w:val="007C2C20"/>
    <w:rsid w:val="007C3055"/>
    <w:rsid w:val="007C3D86"/>
    <w:rsid w:val="007C3F85"/>
    <w:rsid w:val="007C64C7"/>
    <w:rsid w:val="007D2D78"/>
    <w:rsid w:val="007D4C3B"/>
    <w:rsid w:val="007D71BF"/>
    <w:rsid w:val="007E1517"/>
    <w:rsid w:val="007E567E"/>
    <w:rsid w:val="007E6994"/>
    <w:rsid w:val="007E79F6"/>
    <w:rsid w:val="007F352D"/>
    <w:rsid w:val="0080121C"/>
    <w:rsid w:val="008039E0"/>
    <w:rsid w:val="008042AE"/>
    <w:rsid w:val="0080755B"/>
    <w:rsid w:val="00810D00"/>
    <w:rsid w:val="00810DB9"/>
    <w:rsid w:val="00815C08"/>
    <w:rsid w:val="008200B3"/>
    <w:rsid w:val="00821905"/>
    <w:rsid w:val="00822399"/>
    <w:rsid w:val="008276CF"/>
    <w:rsid w:val="008421A9"/>
    <w:rsid w:val="008429CC"/>
    <w:rsid w:val="0084594D"/>
    <w:rsid w:val="00845BAE"/>
    <w:rsid w:val="00845D2C"/>
    <w:rsid w:val="00846968"/>
    <w:rsid w:val="0084749E"/>
    <w:rsid w:val="0085014E"/>
    <w:rsid w:val="00850753"/>
    <w:rsid w:val="00852B4E"/>
    <w:rsid w:val="00853F80"/>
    <w:rsid w:val="00856EA9"/>
    <w:rsid w:val="00861E17"/>
    <w:rsid w:val="00873699"/>
    <w:rsid w:val="00881F80"/>
    <w:rsid w:val="00891228"/>
    <w:rsid w:val="008A61BA"/>
    <w:rsid w:val="008A7573"/>
    <w:rsid w:val="008C6E81"/>
    <w:rsid w:val="008D70EB"/>
    <w:rsid w:val="008D7F06"/>
    <w:rsid w:val="008E1B7C"/>
    <w:rsid w:val="008E2A02"/>
    <w:rsid w:val="008F37A7"/>
    <w:rsid w:val="008F3EF8"/>
    <w:rsid w:val="008F5349"/>
    <w:rsid w:val="00900CB1"/>
    <w:rsid w:val="00907214"/>
    <w:rsid w:val="00910808"/>
    <w:rsid w:val="009133C7"/>
    <w:rsid w:val="00915B72"/>
    <w:rsid w:val="00922F0C"/>
    <w:rsid w:val="00927D7A"/>
    <w:rsid w:val="00930128"/>
    <w:rsid w:val="00934FC0"/>
    <w:rsid w:val="009358E1"/>
    <w:rsid w:val="00937279"/>
    <w:rsid w:val="009414C3"/>
    <w:rsid w:val="00945E63"/>
    <w:rsid w:val="0095015D"/>
    <w:rsid w:val="009507CD"/>
    <w:rsid w:val="00950C64"/>
    <w:rsid w:val="009539AE"/>
    <w:rsid w:val="009604BC"/>
    <w:rsid w:val="00964DBB"/>
    <w:rsid w:val="00972E09"/>
    <w:rsid w:val="009759CE"/>
    <w:rsid w:val="00983D4F"/>
    <w:rsid w:val="00986FCA"/>
    <w:rsid w:val="0099008A"/>
    <w:rsid w:val="009904A4"/>
    <w:rsid w:val="00994C13"/>
    <w:rsid w:val="00995EF5"/>
    <w:rsid w:val="009A1BFA"/>
    <w:rsid w:val="009A4B9C"/>
    <w:rsid w:val="009A6483"/>
    <w:rsid w:val="009B4726"/>
    <w:rsid w:val="009B5038"/>
    <w:rsid w:val="009C3F6B"/>
    <w:rsid w:val="009C4941"/>
    <w:rsid w:val="009C6489"/>
    <w:rsid w:val="009C6692"/>
    <w:rsid w:val="009D06B5"/>
    <w:rsid w:val="009D542F"/>
    <w:rsid w:val="009D7F62"/>
    <w:rsid w:val="009E0BDF"/>
    <w:rsid w:val="009E2231"/>
    <w:rsid w:val="009E4E26"/>
    <w:rsid w:val="009E6B06"/>
    <w:rsid w:val="009F4CF3"/>
    <w:rsid w:val="009F657B"/>
    <w:rsid w:val="00A10DC1"/>
    <w:rsid w:val="00A1393C"/>
    <w:rsid w:val="00A244FD"/>
    <w:rsid w:val="00A31618"/>
    <w:rsid w:val="00A36F4B"/>
    <w:rsid w:val="00A43724"/>
    <w:rsid w:val="00A443CF"/>
    <w:rsid w:val="00A4613C"/>
    <w:rsid w:val="00A528CD"/>
    <w:rsid w:val="00A52911"/>
    <w:rsid w:val="00A564C9"/>
    <w:rsid w:val="00A564F1"/>
    <w:rsid w:val="00A61AC5"/>
    <w:rsid w:val="00A62AA8"/>
    <w:rsid w:val="00A62E52"/>
    <w:rsid w:val="00A64E55"/>
    <w:rsid w:val="00A6740D"/>
    <w:rsid w:val="00A721AA"/>
    <w:rsid w:val="00A73EE6"/>
    <w:rsid w:val="00A74075"/>
    <w:rsid w:val="00A76F6B"/>
    <w:rsid w:val="00A7720A"/>
    <w:rsid w:val="00A81686"/>
    <w:rsid w:val="00A846EA"/>
    <w:rsid w:val="00A9533A"/>
    <w:rsid w:val="00A96E4A"/>
    <w:rsid w:val="00AA1286"/>
    <w:rsid w:val="00AB1F46"/>
    <w:rsid w:val="00AB2659"/>
    <w:rsid w:val="00AB7396"/>
    <w:rsid w:val="00AC146E"/>
    <w:rsid w:val="00AC499D"/>
    <w:rsid w:val="00AC49D2"/>
    <w:rsid w:val="00AE08E8"/>
    <w:rsid w:val="00AE2FF3"/>
    <w:rsid w:val="00AE3F2A"/>
    <w:rsid w:val="00AE57AF"/>
    <w:rsid w:val="00AF32CE"/>
    <w:rsid w:val="00B14398"/>
    <w:rsid w:val="00B169CF"/>
    <w:rsid w:val="00B1770B"/>
    <w:rsid w:val="00B24869"/>
    <w:rsid w:val="00B24EDE"/>
    <w:rsid w:val="00B30211"/>
    <w:rsid w:val="00B30AD3"/>
    <w:rsid w:val="00B30DBE"/>
    <w:rsid w:val="00B31ACD"/>
    <w:rsid w:val="00B31EBD"/>
    <w:rsid w:val="00B44C02"/>
    <w:rsid w:val="00B5201A"/>
    <w:rsid w:val="00B6115D"/>
    <w:rsid w:val="00B62E0A"/>
    <w:rsid w:val="00B6630F"/>
    <w:rsid w:val="00B67571"/>
    <w:rsid w:val="00B704D3"/>
    <w:rsid w:val="00B733EB"/>
    <w:rsid w:val="00B74880"/>
    <w:rsid w:val="00B802D0"/>
    <w:rsid w:val="00B8067A"/>
    <w:rsid w:val="00B80806"/>
    <w:rsid w:val="00B80A03"/>
    <w:rsid w:val="00B83001"/>
    <w:rsid w:val="00B863D1"/>
    <w:rsid w:val="00B93D02"/>
    <w:rsid w:val="00B95CF9"/>
    <w:rsid w:val="00BA2A68"/>
    <w:rsid w:val="00BA65CB"/>
    <w:rsid w:val="00BB318E"/>
    <w:rsid w:val="00BB56E3"/>
    <w:rsid w:val="00BB7F77"/>
    <w:rsid w:val="00BC0173"/>
    <w:rsid w:val="00BC0635"/>
    <w:rsid w:val="00BC3949"/>
    <w:rsid w:val="00BD39F5"/>
    <w:rsid w:val="00BD6B75"/>
    <w:rsid w:val="00BD6EF7"/>
    <w:rsid w:val="00BE0115"/>
    <w:rsid w:val="00BE064F"/>
    <w:rsid w:val="00BE71C6"/>
    <w:rsid w:val="00BF4559"/>
    <w:rsid w:val="00C0121C"/>
    <w:rsid w:val="00C02E31"/>
    <w:rsid w:val="00C03734"/>
    <w:rsid w:val="00C04541"/>
    <w:rsid w:val="00C110A4"/>
    <w:rsid w:val="00C116C4"/>
    <w:rsid w:val="00C11D66"/>
    <w:rsid w:val="00C12222"/>
    <w:rsid w:val="00C1285C"/>
    <w:rsid w:val="00C1552A"/>
    <w:rsid w:val="00C16159"/>
    <w:rsid w:val="00C17F7A"/>
    <w:rsid w:val="00C2777C"/>
    <w:rsid w:val="00C31733"/>
    <w:rsid w:val="00C33985"/>
    <w:rsid w:val="00C37663"/>
    <w:rsid w:val="00C4280C"/>
    <w:rsid w:val="00C470C1"/>
    <w:rsid w:val="00C504F4"/>
    <w:rsid w:val="00C5089D"/>
    <w:rsid w:val="00C5250A"/>
    <w:rsid w:val="00C53B8F"/>
    <w:rsid w:val="00C5539F"/>
    <w:rsid w:val="00C57011"/>
    <w:rsid w:val="00C570A6"/>
    <w:rsid w:val="00C626EF"/>
    <w:rsid w:val="00C653B4"/>
    <w:rsid w:val="00C66CA7"/>
    <w:rsid w:val="00C673F4"/>
    <w:rsid w:val="00C73003"/>
    <w:rsid w:val="00C73B87"/>
    <w:rsid w:val="00C76329"/>
    <w:rsid w:val="00C766D0"/>
    <w:rsid w:val="00C904B4"/>
    <w:rsid w:val="00C921D5"/>
    <w:rsid w:val="00C92D09"/>
    <w:rsid w:val="00C93C32"/>
    <w:rsid w:val="00CA2345"/>
    <w:rsid w:val="00CA51FC"/>
    <w:rsid w:val="00CA58DD"/>
    <w:rsid w:val="00CA6C8E"/>
    <w:rsid w:val="00CA71EE"/>
    <w:rsid w:val="00CB0044"/>
    <w:rsid w:val="00CB02A7"/>
    <w:rsid w:val="00CB1B7D"/>
    <w:rsid w:val="00CB3D1E"/>
    <w:rsid w:val="00CB720A"/>
    <w:rsid w:val="00CB7505"/>
    <w:rsid w:val="00CC1B0B"/>
    <w:rsid w:val="00CD0190"/>
    <w:rsid w:val="00CD3655"/>
    <w:rsid w:val="00CD4439"/>
    <w:rsid w:val="00CD4B3F"/>
    <w:rsid w:val="00CD4BD1"/>
    <w:rsid w:val="00CD527D"/>
    <w:rsid w:val="00CD5748"/>
    <w:rsid w:val="00CE00A9"/>
    <w:rsid w:val="00CE3DF2"/>
    <w:rsid w:val="00CE5CD1"/>
    <w:rsid w:val="00CE7AB7"/>
    <w:rsid w:val="00CF3E07"/>
    <w:rsid w:val="00CF40B2"/>
    <w:rsid w:val="00CF5A54"/>
    <w:rsid w:val="00D03E3C"/>
    <w:rsid w:val="00D07698"/>
    <w:rsid w:val="00D1035F"/>
    <w:rsid w:val="00D11DB1"/>
    <w:rsid w:val="00D15B42"/>
    <w:rsid w:val="00D20975"/>
    <w:rsid w:val="00D214B4"/>
    <w:rsid w:val="00D234E2"/>
    <w:rsid w:val="00D3088E"/>
    <w:rsid w:val="00D34977"/>
    <w:rsid w:val="00D40A72"/>
    <w:rsid w:val="00D41C57"/>
    <w:rsid w:val="00D4200F"/>
    <w:rsid w:val="00D45DB7"/>
    <w:rsid w:val="00D501C7"/>
    <w:rsid w:val="00D51DEB"/>
    <w:rsid w:val="00D52EDE"/>
    <w:rsid w:val="00D5399A"/>
    <w:rsid w:val="00D553C4"/>
    <w:rsid w:val="00D57952"/>
    <w:rsid w:val="00D637FE"/>
    <w:rsid w:val="00D63CE4"/>
    <w:rsid w:val="00D679E3"/>
    <w:rsid w:val="00D7319F"/>
    <w:rsid w:val="00D74D3B"/>
    <w:rsid w:val="00D853A8"/>
    <w:rsid w:val="00D864DC"/>
    <w:rsid w:val="00D96DFC"/>
    <w:rsid w:val="00D978B9"/>
    <w:rsid w:val="00DA460F"/>
    <w:rsid w:val="00DA5F53"/>
    <w:rsid w:val="00DA6A9A"/>
    <w:rsid w:val="00DA7381"/>
    <w:rsid w:val="00DB050E"/>
    <w:rsid w:val="00DB0690"/>
    <w:rsid w:val="00DB4A5C"/>
    <w:rsid w:val="00DB7AE1"/>
    <w:rsid w:val="00DC0534"/>
    <w:rsid w:val="00DC2B03"/>
    <w:rsid w:val="00DC78F8"/>
    <w:rsid w:val="00DD4146"/>
    <w:rsid w:val="00DD4F60"/>
    <w:rsid w:val="00DD6E64"/>
    <w:rsid w:val="00DE38A3"/>
    <w:rsid w:val="00DF55A3"/>
    <w:rsid w:val="00DF6313"/>
    <w:rsid w:val="00E020C3"/>
    <w:rsid w:val="00E03FEB"/>
    <w:rsid w:val="00E04A1F"/>
    <w:rsid w:val="00E061AB"/>
    <w:rsid w:val="00E10A19"/>
    <w:rsid w:val="00E166A0"/>
    <w:rsid w:val="00E22922"/>
    <w:rsid w:val="00E27035"/>
    <w:rsid w:val="00E27E1D"/>
    <w:rsid w:val="00E3312A"/>
    <w:rsid w:val="00E41395"/>
    <w:rsid w:val="00E418C1"/>
    <w:rsid w:val="00E45153"/>
    <w:rsid w:val="00E45314"/>
    <w:rsid w:val="00E45330"/>
    <w:rsid w:val="00E566C9"/>
    <w:rsid w:val="00E6252A"/>
    <w:rsid w:val="00E632F9"/>
    <w:rsid w:val="00E66655"/>
    <w:rsid w:val="00E666C7"/>
    <w:rsid w:val="00E674D1"/>
    <w:rsid w:val="00E73C8C"/>
    <w:rsid w:val="00E930B8"/>
    <w:rsid w:val="00E944CD"/>
    <w:rsid w:val="00E97C96"/>
    <w:rsid w:val="00EA1372"/>
    <w:rsid w:val="00EA4FAF"/>
    <w:rsid w:val="00EB1174"/>
    <w:rsid w:val="00EB7BBE"/>
    <w:rsid w:val="00EC2C0B"/>
    <w:rsid w:val="00EC2D9C"/>
    <w:rsid w:val="00EC4FDF"/>
    <w:rsid w:val="00ED172A"/>
    <w:rsid w:val="00ED38F9"/>
    <w:rsid w:val="00ED3C4A"/>
    <w:rsid w:val="00ED7FFC"/>
    <w:rsid w:val="00EE3631"/>
    <w:rsid w:val="00EE79CE"/>
    <w:rsid w:val="00EF104C"/>
    <w:rsid w:val="00EF16FF"/>
    <w:rsid w:val="00EF245E"/>
    <w:rsid w:val="00EF3390"/>
    <w:rsid w:val="00EF3D10"/>
    <w:rsid w:val="00EF4C06"/>
    <w:rsid w:val="00F015DF"/>
    <w:rsid w:val="00F0197D"/>
    <w:rsid w:val="00F04519"/>
    <w:rsid w:val="00F07701"/>
    <w:rsid w:val="00F116E0"/>
    <w:rsid w:val="00F1483A"/>
    <w:rsid w:val="00F16E09"/>
    <w:rsid w:val="00F34197"/>
    <w:rsid w:val="00F346D9"/>
    <w:rsid w:val="00F358DF"/>
    <w:rsid w:val="00F37DAA"/>
    <w:rsid w:val="00F4152E"/>
    <w:rsid w:val="00F44953"/>
    <w:rsid w:val="00F45337"/>
    <w:rsid w:val="00F46B5C"/>
    <w:rsid w:val="00F5326A"/>
    <w:rsid w:val="00F57F76"/>
    <w:rsid w:val="00F6070A"/>
    <w:rsid w:val="00F66A6A"/>
    <w:rsid w:val="00F70675"/>
    <w:rsid w:val="00F750EB"/>
    <w:rsid w:val="00F7639D"/>
    <w:rsid w:val="00F803D0"/>
    <w:rsid w:val="00F81D4A"/>
    <w:rsid w:val="00F81F99"/>
    <w:rsid w:val="00F85E8A"/>
    <w:rsid w:val="00F87C6B"/>
    <w:rsid w:val="00F92808"/>
    <w:rsid w:val="00F966CD"/>
    <w:rsid w:val="00F96D26"/>
    <w:rsid w:val="00FA41E4"/>
    <w:rsid w:val="00FA4CA8"/>
    <w:rsid w:val="00FA5A98"/>
    <w:rsid w:val="00FB0644"/>
    <w:rsid w:val="00FB2EF5"/>
    <w:rsid w:val="00FB47E6"/>
    <w:rsid w:val="00FB4EFA"/>
    <w:rsid w:val="00FB7C83"/>
    <w:rsid w:val="00FC5705"/>
    <w:rsid w:val="00FD21BC"/>
    <w:rsid w:val="00FD4AE8"/>
    <w:rsid w:val="00FD565F"/>
    <w:rsid w:val="00FD5E04"/>
    <w:rsid w:val="00FE054F"/>
    <w:rsid w:val="00FE282A"/>
    <w:rsid w:val="00FE44B6"/>
    <w:rsid w:val="00FE5AC9"/>
    <w:rsid w:val="00FE6D9A"/>
    <w:rsid w:val="00FF2EC5"/>
    <w:rsid w:val="00FF5080"/>
    <w:rsid w:val="00FF7D8B"/>
    <w:rsid w:val="01154EDD"/>
    <w:rsid w:val="016356B9"/>
    <w:rsid w:val="01A44126"/>
    <w:rsid w:val="01BD17FD"/>
    <w:rsid w:val="022C24DE"/>
    <w:rsid w:val="028247F4"/>
    <w:rsid w:val="039758E1"/>
    <w:rsid w:val="03E740A7"/>
    <w:rsid w:val="04365012"/>
    <w:rsid w:val="04F73278"/>
    <w:rsid w:val="05917228"/>
    <w:rsid w:val="05B77897"/>
    <w:rsid w:val="069038E6"/>
    <w:rsid w:val="06BF38C3"/>
    <w:rsid w:val="07342561"/>
    <w:rsid w:val="07CA07CF"/>
    <w:rsid w:val="07E21FBD"/>
    <w:rsid w:val="07F615C4"/>
    <w:rsid w:val="08015055"/>
    <w:rsid w:val="0B6806EB"/>
    <w:rsid w:val="0B82196E"/>
    <w:rsid w:val="0CEC568C"/>
    <w:rsid w:val="0CF2038A"/>
    <w:rsid w:val="0DD24882"/>
    <w:rsid w:val="0E074C70"/>
    <w:rsid w:val="0EE55179"/>
    <w:rsid w:val="0F835B8F"/>
    <w:rsid w:val="0F99255A"/>
    <w:rsid w:val="10026C05"/>
    <w:rsid w:val="1030763E"/>
    <w:rsid w:val="10BD097F"/>
    <w:rsid w:val="10D26947"/>
    <w:rsid w:val="10EA3C90"/>
    <w:rsid w:val="110A3A4A"/>
    <w:rsid w:val="110A6B38"/>
    <w:rsid w:val="111B6C8A"/>
    <w:rsid w:val="112A22DF"/>
    <w:rsid w:val="11950537"/>
    <w:rsid w:val="12887C05"/>
    <w:rsid w:val="129739A4"/>
    <w:rsid w:val="12DE4439"/>
    <w:rsid w:val="13C72B32"/>
    <w:rsid w:val="145C6C53"/>
    <w:rsid w:val="14843026"/>
    <w:rsid w:val="14CC4BFB"/>
    <w:rsid w:val="14F92063"/>
    <w:rsid w:val="15033573"/>
    <w:rsid w:val="152B509B"/>
    <w:rsid w:val="159E5A1C"/>
    <w:rsid w:val="167A1613"/>
    <w:rsid w:val="16926898"/>
    <w:rsid w:val="16FB628B"/>
    <w:rsid w:val="178D23B1"/>
    <w:rsid w:val="17E31439"/>
    <w:rsid w:val="1A9B5FFB"/>
    <w:rsid w:val="1AEB2ADF"/>
    <w:rsid w:val="1B181093"/>
    <w:rsid w:val="1B925650"/>
    <w:rsid w:val="1BC33A5C"/>
    <w:rsid w:val="1C1C4F1A"/>
    <w:rsid w:val="1CF71C0F"/>
    <w:rsid w:val="1DB10668"/>
    <w:rsid w:val="1DDB508D"/>
    <w:rsid w:val="1EDD4E34"/>
    <w:rsid w:val="1EEB2092"/>
    <w:rsid w:val="202839CC"/>
    <w:rsid w:val="20425755"/>
    <w:rsid w:val="208D63E6"/>
    <w:rsid w:val="20977E17"/>
    <w:rsid w:val="20EE62C9"/>
    <w:rsid w:val="223B259E"/>
    <w:rsid w:val="22440677"/>
    <w:rsid w:val="22631AF5"/>
    <w:rsid w:val="22B97967"/>
    <w:rsid w:val="235B1263"/>
    <w:rsid w:val="243F2847"/>
    <w:rsid w:val="2483014F"/>
    <w:rsid w:val="25AC4669"/>
    <w:rsid w:val="260A34C1"/>
    <w:rsid w:val="267F5560"/>
    <w:rsid w:val="26B24DF9"/>
    <w:rsid w:val="26C76424"/>
    <w:rsid w:val="26E80393"/>
    <w:rsid w:val="27046E14"/>
    <w:rsid w:val="27731758"/>
    <w:rsid w:val="29276239"/>
    <w:rsid w:val="2A1536D4"/>
    <w:rsid w:val="2A475858"/>
    <w:rsid w:val="2B632B65"/>
    <w:rsid w:val="2B852ADC"/>
    <w:rsid w:val="2BA557A4"/>
    <w:rsid w:val="2C55164B"/>
    <w:rsid w:val="2DE6134F"/>
    <w:rsid w:val="2EB11545"/>
    <w:rsid w:val="2F6824F8"/>
    <w:rsid w:val="3024626D"/>
    <w:rsid w:val="307A0735"/>
    <w:rsid w:val="30B57B0F"/>
    <w:rsid w:val="30C044B7"/>
    <w:rsid w:val="3102234B"/>
    <w:rsid w:val="318037B0"/>
    <w:rsid w:val="31CB6D6E"/>
    <w:rsid w:val="32172FF1"/>
    <w:rsid w:val="325B13A2"/>
    <w:rsid w:val="32A47CEB"/>
    <w:rsid w:val="32BA6F15"/>
    <w:rsid w:val="33097115"/>
    <w:rsid w:val="33207B49"/>
    <w:rsid w:val="33356B95"/>
    <w:rsid w:val="33574D5E"/>
    <w:rsid w:val="33A250B9"/>
    <w:rsid w:val="33E11B47"/>
    <w:rsid w:val="34182917"/>
    <w:rsid w:val="34F12B8A"/>
    <w:rsid w:val="36F204B8"/>
    <w:rsid w:val="370F281D"/>
    <w:rsid w:val="37E33AD1"/>
    <w:rsid w:val="38784443"/>
    <w:rsid w:val="38E70932"/>
    <w:rsid w:val="394C0704"/>
    <w:rsid w:val="39B85F79"/>
    <w:rsid w:val="3A2B5A5C"/>
    <w:rsid w:val="3A7E6FB0"/>
    <w:rsid w:val="3AAC1E33"/>
    <w:rsid w:val="3AAF5FE0"/>
    <w:rsid w:val="3AE55345"/>
    <w:rsid w:val="3B1A1E0C"/>
    <w:rsid w:val="3C8A416E"/>
    <w:rsid w:val="3CC70902"/>
    <w:rsid w:val="3D480A37"/>
    <w:rsid w:val="3D785FFC"/>
    <w:rsid w:val="3D807BEB"/>
    <w:rsid w:val="3D8B4B09"/>
    <w:rsid w:val="3DBF41CF"/>
    <w:rsid w:val="3E2523E0"/>
    <w:rsid w:val="3E8F425D"/>
    <w:rsid w:val="3F7F218F"/>
    <w:rsid w:val="3FB554FF"/>
    <w:rsid w:val="40043288"/>
    <w:rsid w:val="410B22ED"/>
    <w:rsid w:val="41B922AC"/>
    <w:rsid w:val="42681D1C"/>
    <w:rsid w:val="42927B60"/>
    <w:rsid w:val="42B11DD1"/>
    <w:rsid w:val="44204C51"/>
    <w:rsid w:val="44C85ABB"/>
    <w:rsid w:val="455C7165"/>
    <w:rsid w:val="476F0779"/>
    <w:rsid w:val="47D93B3C"/>
    <w:rsid w:val="47EB386F"/>
    <w:rsid w:val="482A4397"/>
    <w:rsid w:val="487A531F"/>
    <w:rsid w:val="48C465CA"/>
    <w:rsid w:val="48D46EA6"/>
    <w:rsid w:val="49792073"/>
    <w:rsid w:val="49965FC8"/>
    <w:rsid w:val="49E50AEE"/>
    <w:rsid w:val="4A145C35"/>
    <w:rsid w:val="4A84767E"/>
    <w:rsid w:val="4AC00FE3"/>
    <w:rsid w:val="4AE42F23"/>
    <w:rsid w:val="4B221C9D"/>
    <w:rsid w:val="4B6C4CC7"/>
    <w:rsid w:val="4B8537E1"/>
    <w:rsid w:val="4CB94BEE"/>
    <w:rsid w:val="4CEF1917"/>
    <w:rsid w:val="4CF5766A"/>
    <w:rsid w:val="4D64431D"/>
    <w:rsid w:val="4D922085"/>
    <w:rsid w:val="4F005E52"/>
    <w:rsid w:val="4F2C6C47"/>
    <w:rsid w:val="4FC21359"/>
    <w:rsid w:val="4FC7696F"/>
    <w:rsid w:val="50241052"/>
    <w:rsid w:val="50E84671"/>
    <w:rsid w:val="514364CA"/>
    <w:rsid w:val="5186233E"/>
    <w:rsid w:val="52374280"/>
    <w:rsid w:val="52573C68"/>
    <w:rsid w:val="525A1D1D"/>
    <w:rsid w:val="52BC4786"/>
    <w:rsid w:val="53051C89"/>
    <w:rsid w:val="54FE1085"/>
    <w:rsid w:val="55255663"/>
    <w:rsid w:val="559D5E9A"/>
    <w:rsid w:val="55A84539"/>
    <w:rsid w:val="55AA3FF8"/>
    <w:rsid w:val="55AF2D0A"/>
    <w:rsid w:val="55C2102C"/>
    <w:rsid w:val="55D156FE"/>
    <w:rsid w:val="56F905AE"/>
    <w:rsid w:val="587873A1"/>
    <w:rsid w:val="597072EF"/>
    <w:rsid w:val="59D05FE2"/>
    <w:rsid w:val="59F51F0F"/>
    <w:rsid w:val="5A58067B"/>
    <w:rsid w:val="5A7C4F26"/>
    <w:rsid w:val="5AB67D0C"/>
    <w:rsid w:val="5B305D11"/>
    <w:rsid w:val="5BCA62D9"/>
    <w:rsid w:val="5BEA2363"/>
    <w:rsid w:val="5C771D09"/>
    <w:rsid w:val="5C8D5DE7"/>
    <w:rsid w:val="5CFA65D6"/>
    <w:rsid w:val="5CFB7F21"/>
    <w:rsid w:val="5D9B2312"/>
    <w:rsid w:val="5F9A0FF4"/>
    <w:rsid w:val="5FB24F46"/>
    <w:rsid w:val="600B6374"/>
    <w:rsid w:val="607C7302"/>
    <w:rsid w:val="60EC6236"/>
    <w:rsid w:val="61466D11"/>
    <w:rsid w:val="61BE02CF"/>
    <w:rsid w:val="61C71D68"/>
    <w:rsid w:val="61D70C94"/>
    <w:rsid w:val="627209BD"/>
    <w:rsid w:val="62FB09B2"/>
    <w:rsid w:val="630C2BBF"/>
    <w:rsid w:val="63100901"/>
    <w:rsid w:val="631101D6"/>
    <w:rsid w:val="63842EE9"/>
    <w:rsid w:val="63B80984"/>
    <w:rsid w:val="63F81978"/>
    <w:rsid w:val="64124205"/>
    <w:rsid w:val="64580D18"/>
    <w:rsid w:val="649B244D"/>
    <w:rsid w:val="64BB2AEF"/>
    <w:rsid w:val="653C7D89"/>
    <w:rsid w:val="6565140E"/>
    <w:rsid w:val="666D1BC7"/>
    <w:rsid w:val="66E91529"/>
    <w:rsid w:val="66ED2D08"/>
    <w:rsid w:val="673D0D05"/>
    <w:rsid w:val="6779459B"/>
    <w:rsid w:val="67D619EE"/>
    <w:rsid w:val="682216E5"/>
    <w:rsid w:val="682B1D3A"/>
    <w:rsid w:val="684935A8"/>
    <w:rsid w:val="68DA1699"/>
    <w:rsid w:val="69396D3B"/>
    <w:rsid w:val="69545A46"/>
    <w:rsid w:val="695D5F23"/>
    <w:rsid w:val="69A371A3"/>
    <w:rsid w:val="69BE0EE0"/>
    <w:rsid w:val="6A617C95"/>
    <w:rsid w:val="6AD5186E"/>
    <w:rsid w:val="6ADA5EF2"/>
    <w:rsid w:val="6AF6662F"/>
    <w:rsid w:val="6B536250"/>
    <w:rsid w:val="6B7057A5"/>
    <w:rsid w:val="6BDB75D3"/>
    <w:rsid w:val="6C77379F"/>
    <w:rsid w:val="6D4C0D2E"/>
    <w:rsid w:val="6D54763D"/>
    <w:rsid w:val="6D754F5B"/>
    <w:rsid w:val="6E057D8B"/>
    <w:rsid w:val="6EA65343"/>
    <w:rsid w:val="6F3A18FA"/>
    <w:rsid w:val="6FD6083D"/>
    <w:rsid w:val="6FFD220E"/>
    <w:rsid w:val="703E6382"/>
    <w:rsid w:val="70B640DA"/>
    <w:rsid w:val="70DA7947"/>
    <w:rsid w:val="70E707C8"/>
    <w:rsid w:val="70F30E8A"/>
    <w:rsid w:val="71E270CD"/>
    <w:rsid w:val="71FE122F"/>
    <w:rsid w:val="72676B08"/>
    <w:rsid w:val="7297265B"/>
    <w:rsid w:val="7298621E"/>
    <w:rsid w:val="73426D24"/>
    <w:rsid w:val="738B52DB"/>
    <w:rsid w:val="746B3DAE"/>
    <w:rsid w:val="74C0380A"/>
    <w:rsid w:val="74CB741D"/>
    <w:rsid w:val="755C3532"/>
    <w:rsid w:val="756B7C19"/>
    <w:rsid w:val="75982EED"/>
    <w:rsid w:val="75E63744"/>
    <w:rsid w:val="764579AD"/>
    <w:rsid w:val="766703E1"/>
    <w:rsid w:val="77235ECE"/>
    <w:rsid w:val="775841CD"/>
    <w:rsid w:val="77F51A1C"/>
    <w:rsid w:val="78080136"/>
    <w:rsid w:val="78B92126"/>
    <w:rsid w:val="79960FDD"/>
    <w:rsid w:val="79BC6C95"/>
    <w:rsid w:val="7A3C7896"/>
    <w:rsid w:val="7AA550E0"/>
    <w:rsid w:val="7AE2408E"/>
    <w:rsid w:val="7B2B1D4A"/>
    <w:rsid w:val="7BB66C50"/>
    <w:rsid w:val="7C1042BF"/>
    <w:rsid w:val="7C5F4087"/>
    <w:rsid w:val="7C7E1AEF"/>
    <w:rsid w:val="7E9D3FD1"/>
    <w:rsid w:val="7F116E7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after="160" w:line="300" w:lineRule="auto"/>
      <w:ind w:firstLine="200" w:firstLineChars="200"/>
      <w:jc w:val="both"/>
    </w:pPr>
    <w:rPr>
      <w:rFonts w:ascii="Times New Roman" w:hAnsi="Times New Roman" w:eastAsiaTheme="minorEastAsia" w:cstheme="minorBidi"/>
      <w:kern w:val="2"/>
      <w:sz w:val="21"/>
      <w:szCs w:val="22"/>
      <w:lang w:val="en-US" w:eastAsia="zh-CN" w:bidi="ar-SA"/>
    </w:rPr>
  </w:style>
  <w:style w:type="paragraph" w:styleId="2">
    <w:name w:val="heading 1"/>
    <w:basedOn w:val="1"/>
    <w:next w:val="1"/>
    <w:link w:val="54"/>
    <w:qFormat/>
    <w:uiPriority w:val="9"/>
    <w:pPr>
      <w:keepNext/>
      <w:keepLines/>
      <w:spacing w:before="100" w:beforeAutospacing="1" w:after="100" w:afterLines="100"/>
      <w:ind w:firstLine="0" w:firstLineChars="0"/>
      <w:jc w:val="center"/>
      <w:outlineLvl w:val="0"/>
    </w:pPr>
    <w:rPr>
      <w:b/>
      <w:bCs/>
      <w:kern w:val="44"/>
      <w:sz w:val="28"/>
      <w:szCs w:val="44"/>
    </w:rPr>
  </w:style>
  <w:style w:type="paragraph" w:styleId="3">
    <w:name w:val="heading 2"/>
    <w:basedOn w:val="1"/>
    <w:next w:val="1"/>
    <w:autoRedefine/>
    <w:unhideWhenUsed/>
    <w:qFormat/>
    <w:uiPriority w:val="9"/>
    <w:pPr>
      <w:spacing w:before="312" w:beforeLines="100" w:after="312" w:afterLines="100"/>
      <w:ind w:firstLine="0" w:firstLineChars="0"/>
      <w:jc w:val="center"/>
      <w:outlineLvl w:val="1"/>
    </w:pPr>
    <w:rPr>
      <w:rFonts w:eastAsia="宋体"/>
      <w:b/>
      <w:snapToGrid w:val="0"/>
      <w:sz w:val="28"/>
    </w:rPr>
  </w:style>
  <w:style w:type="paragraph" w:styleId="4">
    <w:name w:val="heading 3"/>
    <w:basedOn w:val="1"/>
    <w:next w:val="1"/>
    <w:link w:val="40"/>
    <w:qFormat/>
    <w:uiPriority w:val="0"/>
    <w:pPr>
      <w:keepNext/>
      <w:ind w:firstLine="0" w:firstLineChars="0"/>
      <w:outlineLvl w:val="2"/>
    </w:pPr>
    <w:rPr>
      <w:rFonts w:cs="Times New Roman"/>
      <w:bCs/>
      <w:snapToGrid w:val="0"/>
      <w:szCs w:val="32"/>
    </w:rPr>
  </w:style>
  <w:style w:type="paragraph" w:styleId="5">
    <w:name w:val="heading 5"/>
    <w:basedOn w:val="1"/>
    <w:next w:val="1"/>
    <w:qFormat/>
    <w:uiPriority w:val="0"/>
    <w:pPr>
      <w:keepNext/>
      <w:keepLines/>
      <w:ind w:firstLine="510"/>
      <w:jc w:val="left"/>
      <w:outlineLvl w:val="4"/>
    </w:pPr>
    <w:rPr>
      <w:rFonts w:eastAsia="宋体" w:cs="Times New Roman"/>
      <w:sz w:val="28"/>
      <w:szCs w:val="24"/>
    </w:rPr>
  </w:style>
  <w:style w:type="paragraph" w:styleId="6">
    <w:name w:val="heading 6"/>
    <w:basedOn w:val="1"/>
    <w:next w:val="1"/>
    <w:link w:val="50"/>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7">
    <w:name w:val="heading 8"/>
    <w:basedOn w:val="1"/>
    <w:next w:val="1"/>
    <w:link w:val="38"/>
    <w:autoRedefine/>
    <w:qFormat/>
    <w:uiPriority w:val="0"/>
    <w:pPr>
      <w:keepNext/>
      <w:jc w:val="center"/>
      <w:outlineLvl w:val="7"/>
    </w:pPr>
    <w:rPr>
      <w:rFonts w:eastAsia="黑体" w:cs="Times New Roman"/>
      <w:b/>
      <w:bCs/>
      <w:sz w:val="18"/>
      <w:szCs w:val="24"/>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autoRedefine/>
    <w:unhideWhenUsed/>
    <w:qFormat/>
    <w:uiPriority w:val="39"/>
    <w:pPr>
      <w:adjustRightInd/>
      <w:snapToGrid/>
      <w:spacing w:line="278" w:lineRule="auto"/>
      <w:ind w:left="2520" w:leftChars="1200" w:firstLine="0" w:firstLineChars="0"/>
      <w:jc w:val="left"/>
    </w:pPr>
    <w:rPr>
      <w:rFonts w:asciiTheme="minorHAnsi" w:hAnsiTheme="minorHAnsi"/>
      <w:sz w:val="22"/>
      <w:szCs w:val="24"/>
      <w14:ligatures w14:val="standardContextual"/>
    </w:rPr>
  </w:style>
  <w:style w:type="paragraph" w:styleId="9">
    <w:name w:val="annotation text"/>
    <w:basedOn w:val="1"/>
    <w:link w:val="48"/>
    <w:autoRedefine/>
    <w:unhideWhenUsed/>
    <w:qFormat/>
    <w:uiPriority w:val="99"/>
    <w:pPr>
      <w:jc w:val="left"/>
    </w:pPr>
  </w:style>
  <w:style w:type="paragraph" w:styleId="10">
    <w:name w:val="Body Text"/>
    <w:basedOn w:val="1"/>
    <w:autoRedefine/>
    <w:qFormat/>
    <w:uiPriority w:val="0"/>
    <w:pPr>
      <w:spacing w:after="120"/>
    </w:pPr>
    <w:rPr>
      <w:sz w:val="24"/>
      <w:szCs w:val="24"/>
    </w:rPr>
  </w:style>
  <w:style w:type="paragraph" w:styleId="11">
    <w:name w:val="Body Text Indent"/>
    <w:basedOn w:val="1"/>
    <w:link w:val="51"/>
    <w:semiHidden/>
    <w:unhideWhenUsed/>
    <w:qFormat/>
    <w:uiPriority w:val="99"/>
    <w:pPr>
      <w:spacing w:after="120"/>
      <w:ind w:left="420" w:leftChars="200"/>
    </w:pPr>
  </w:style>
  <w:style w:type="paragraph" w:styleId="12">
    <w:name w:val="toc 5"/>
    <w:basedOn w:val="1"/>
    <w:next w:val="1"/>
    <w:autoRedefine/>
    <w:unhideWhenUsed/>
    <w:qFormat/>
    <w:uiPriority w:val="39"/>
    <w:pPr>
      <w:adjustRightInd/>
      <w:snapToGrid/>
      <w:spacing w:line="278" w:lineRule="auto"/>
      <w:ind w:left="1680" w:leftChars="800" w:firstLine="0" w:firstLineChars="0"/>
      <w:jc w:val="left"/>
    </w:pPr>
    <w:rPr>
      <w:rFonts w:asciiTheme="minorHAnsi" w:hAnsiTheme="minorHAnsi"/>
      <w:sz w:val="22"/>
      <w:szCs w:val="24"/>
      <w14:ligatures w14:val="standardContextual"/>
    </w:rPr>
  </w:style>
  <w:style w:type="paragraph" w:styleId="13">
    <w:name w:val="toc 3"/>
    <w:basedOn w:val="1"/>
    <w:next w:val="1"/>
    <w:autoRedefine/>
    <w:unhideWhenUsed/>
    <w:qFormat/>
    <w:uiPriority w:val="39"/>
    <w:pPr>
      <w:ind w:left="840" w:leftChars="400"/>
    </w:pPr>
  </w:style>
  <w:style w:type="paragraph" w:styleId="14">
    <w:name w:val="Plain Text"/>
    <w:basedOn w:val="1"/>
    <w:link w:val="53"/>
    <w:qFormat/>
    <w:uiPriority w:val="0"/>
    <w:pPr>
      <w:widowControl/>
      <w:spacing w:line="278" w:lineRule="auto"/>
      <w:jc w:val="left"/>
    </w:pPr>
    <w:rPr>
      <w:rFonts w:ascii="宋体" w:hAnsi="Courier New" w:eastAsia="宋体" w:cs="Times New Roman"/>
      <w:kern w:val="0"/>
      <w:szCs w:val="21"/>
    </w:rPr>
  </w:style>
  <w:style w:type="paragraph" w:styleId="15">
    <w:name w:val="toc 8"/>
    <w:basedOn w:val="1"/>
    <w:next w:val="1"/>
    <w:autoRedefine/>
    <w:unhideWhenUsed/>
    <w:qFormat/>
    <w:uiPriority w:val="39"/>
    <w:pPr>
      <w:adjustRightInd/>
      <w:snapToGrid/>
      <w:spacing w:line="278" w:lineRule="auto"/>
      <w:ind w:left="2940" w:leftChars="1400" w:firstLine="0" w:firstLineChars="0"/>
      <w:jc w:val="left"/>
    </w:pPr>
    <w:rPr>
      <w:rFonts w:asciiTheme="minorHAnsi" w:hAnsiTheme="minorHAnsi"/>
      <w:sz w:val="22"/>
      <w:szCs w:val="24"/>
      <w14:ligatures w14:val="standardContextual"/>
    </w:rPr>
  </w:style>
  <w:style w:type="paragraph" w:styleId="16">
    <w:name w:val="Date"/>
    <w:basedOn w:val="1"/>
    <w:next w:val="1"/>
    <w:link w:val="39"/>
    <w:autoRedefine/>
    <w:qFormat/>
    <w:uiPriority w:val="0"/>
    <w:pPr>
      <w:ind w:left="100" w:leftChars="2500"/>
    </w:pPr>
    <w:rPr>
      <w:rFonts w:eastAsia="宋体" w:cs="Times New Roman"/>
      <w:sz w:val="28"/>
      <w:szCs w:val="24"/>
    </w:rPr>
  </w:style>
  <w:style w:type="paragraph" w:styleId="17">
    <w:name w:val="Balloon Text"/>
    <w:basedOn w:val="1"/>
    <w:link w:val="43"/>
    <w:autoRedefine/>
    <w:semiHidden/>
    <w:unhideWhenUsed/>
    <w:qFormat/>
    <w:uiPriority w:val="99"/>
    <w:rPr>
      <w:sz w:val="18"/>
      <w:szCs w:val="18"/>
    </w:rPr>
  </w:style>
  <w:style w:type="paragraph" w:styleId="18">
    <w:name w:val="footer"/>
    <w:basedOn w:val="1"/>
    <w:link w:val="36"/>
    <w:autoRedefine/>
    <w:unhideWhenUsed/>
    <w:qFormat/>
    <w:uiPriority w:val="99"/>
    <w:pPr>
      <w:tabs>
        <w:tab w:val="center" w:pos="4153"/>
        <w:tab w:val="right" w:pos="8306"/>
      </w:tabs>
      <w:jc w:val="left"/>
    </w:pPr>
    <w:rPr>
      <w:sz w:val="18"/>
      <w:szCs w:val="18"/>
    </w:rPr>
  </w:style>
  <w:style w:type="paragraph" w:styleId="19">
    <w:name w:val="header"/>
    <w:basedOn w:val="1"/>
    <w:link w:val="35"/>
    <w:autoRedefine/>
    <w:unhideWhenUsed/>
    <w:qFormat/>
    <w:uiPriority w:val="99"/>
    <w:pPr>
      <w:pBdr>
        <w:bottom w:val="single" w:color="auto" w:sz="6" w:space="1"/>
      </w:pBdr>
      <w:tabs>
        <w:tab w:val="center" w:pos="4153"/>
        <w:tab w:val="right" w:pos="8306"/>
      </w:tabs>
      <w:jc w:val="center"/>
    </w:pPr>
    <w:rPr>
      <w:sz w:val="18"/>
      <w:szCs w:val="18"/>
    </w:rPr>
  </w:style>
  <w:style w:type="paragraph" w:styleId="20">
    <w:name w:val="toc 1"/>
    <w:basedOn w:val="1"/>
    <w:next w:val="1"/>
    <w:autoRedefine/>
    <w:qFormat/>
    <w:uiPriority w:val="39"/>
    <w:pPr>
      <w:tabs>
        <w:tab w:val="right" w:leader="dot" w:pos="7936"/>
      </w:tabs>
      <w:spacing w:line="240" w:lineRule="auto"/>
      <w:ind w:firstLine="0" w:firstLineChars="0"/>
    </w:pPr>
    <w:rPr>
      <w:rFonts w:eastAsia="宋体" w:cs="Times New Roman"/>
      <w:szCs w:val="24"/>
    </w:rPr>
  </w:style>
  <w:style w:type="paragraph" w:styleId="21">
    <w:name w:val="toc 4"/>
    <w:basedOn w:val="1"/>
    <w:next w:val="1"/>
    <w:autoRedefine/>
    <w:unhideWhenUsed/>
    <w:qFormat/>
    <w:uiPriority w:val="39"/>
    <w:pPr>
      <w:adjustRightInd/>
      <w:snapToGrid/>
      <w:spacing w:line="278" w:lineRule="auto"/>
      <w:ind w:left="1260" w:leftChars="600" w:firstLine="0" w:firstLineChars="0"/>
      <w:jc w:val="left"/>
    </w:pPr>
    <w:rPr>
      <w:rFonts w:asciiTheme="minorHAnsi" w:hAnsiTheme="minorHAnsi"/>
      <w:sz w:val="22"/>
      <w:szCs w:val="24"/>
      <w14:ligatures w14:val="standardContextual"/>
    </w:rPr>
  </w:style>
  <w:style w:type="paragraph" w:styleId="22">
    <w:name w:val="toc 6"/>
    <w:basedOn w:val="1"/>
    <w:next w:val="1"/>
    <w:autoRedefine/>
    <w:unhideWhenUsed/>
    <w:qFormat/>
    <w:uiPriority w:val="39"/>
    <w:pPr>
      <w:adjustRightInd/>
      <w:snapToGrid/>
      <w:spacing w:line="278" w:lineRule="auto"/>
      <w:ind w:left="2100" w:leftChars="1000" w:firstLine="0" w:firstLineChars="0"/>
      <w:jc w:val="left"/>
    </w:pPr>
    <w:rPr>
      <w:rFonts w:asciiTheme="minorHAnsi" w:hAnsiTheme="minorHAnsi"/>
      <w:sz w:val="22"/>
      <w:szCs w:val="24"/>
      <w14:ligatures w14:val="standardContextual"/>
    </w:rPr>
  </w:style>
  <w:style w:type="paragraph" w:styleId="23">
    <w:name w:val="toc 2"/>
    <w:basedOn w:val="1"/>
    <w:next w:val="1"/>
    <w:autoRedefine/>
    <w:unhideWhenUsed/>
    <w:qFormat/>
    <w:uiPriority w:val="39"/>
    <w:pPr>
      <w:tabs>
        <w:tab w:val="right" w:leader="dot" w:pos="7936"/>
      </w:tabs>
      <w:spacing w:line="240" w:lineRule="auto"/>
      <w:ind w:left="420" w:leftChars="200" w:firstLine="0" w:firstLineChars="0"/>
    </w:pPr>
    <w:rPr>
      <w:szCs w:val="24"/>
    </w:rPr>
  </w:style>
  <w:style w:type="paragraph" w:styleId="24">
    <w:name w:val="toc 9"/>
    <w:basedOn w:val="1"/>
    <w:next w:val="1"/>
    <w:autoRedefine/>
    <w:unhideWhenUsed/>
    <w:qFormat/>
    <w:uiPriority w:val="39"/>
    <w:pPr>
      <w:adjustRightInd/>
      <w:snapToGrid/>
      <w:spacing w:line="278" w:lineRule="auto"/>
      <w:ind w:left="3360" w:leftChars="1600" w:firstLine="0" w:firstLineChars="0"/>
      <w:jc w:val="left"/>
    </w:pPr>
    <w:rPr>
      <w:rFonts w:asciiTheme="minorHAnsi" w:hAnsiTheme="minorHAnsi"/>
      <w:sz w:val="22"/>
      <w:szCs w:val="24"/>
      <w14:ligatures w14:val="standardContextual"/>
    </w:rPr>
  </w:style>
  <w:style w:type="paragraph" w:styleId="25">
    <w:name w:val="Normal (Web)"/>
    <w:basedOn w:val="1"/>
    <w:autoRedefine/>
    <w:semiHidden/>
    <w:unhideWhenUsed/>
    <w:qFormat/>
    <w:uiPriority w:val="99"/>
    <w:pPr>
      <w:spacing w:beforeAutospacing="1" w:afterAutospacing="1" w:line="264" w:lineRule="atLeast"/>
      <w:jc w:val="left"/>
    </w:pPr>
    <w:rPr>
      <w:rFonts w:ascii="宋体" w:hAnsi="宋体" w:cs="Times New Roman"/>
      <w:kern w:val="0"/>
      <w:sz w:val="22"/>
    </w:rPr>
  </w:style>
  <w:style w:type="paragraph" w:styleId="26">
    <w:name w:val="annotation subject"/>
    <w:basedOn w:val="9"/>
    <w:next w:val="9"/>
    <w:link w:val="49"/>
    <w:autoRedefine/>
    <w:semiHidden/>
    <w:unhideWhenUsed/>
    <w:qFormat/>
    <w:uiPriority w:val="99"/>
    <w:rPr>
      <w:b/>
      <w:bCs/>
    </w:rPr>
  </w:style>
  <w:style w:type="paragraph" w:styleId="27">
    <w:name w:val="Body Text First Indent 2"/>
    <w:basedOn w:val="11"/>
    <w:link w:val="52"/>
    <w:semiHidden/>
    <w:unhideWhenUsed/>
    <w:qFormat/>
    <w:uiPriority w:val="99"/>
    <w:pPr>
      <w:ind w:firstLine="420"/>
    </w:pPr>
  </w:style>
  <w:style w:type="table" w:styleId="29">
    <w:name w:val="Table Grid"/>
    <w:basedOn w:val="28"/>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autoRedefine/>
    <w:qFormat/>
    <w:uiPriority w:val="22"/>
    <w:rPr>
      <w:b/>
    </w:rPr>
  </w:style>
  <w:style w:type="character" w:styleId="32">
    <w:name w:val="FollowedHyperlink"/>
    <w:basedOn w:val="30"/>
    <w:autoRedefine/>
    <w:semiHidden/>
    <w:unhideWhenUsed/>
    <w:qFormat/>
    <w:uiPriority w:val="99"/>
    <w:rPr>
      <w:color w:val="0000CC"/>
      <w:sz w:val="22"/>
      <w:szCs w:val="22"/>
      <w:u w:val="single"/>
    </w:rPr>
  </w:style>
  <w:style w:type="character" w:styleId="33">
    <w:name w:val="Hyperlink"/>
    <w:basedOn w:val="30"/>
    <w:autoRedefine/>
    <w:unhideWhenUsed/>
    <w:qFormat/>
    <w:uiPriority w:val="99"/>
    <w:rPr>
      <w:color w:val="0000FF"/>
      <w:u w:val="single"/>
    </w:rPr>
  </w:style>
  <w:style w:type="character" w:styleId="34">
    <w:name w:val="annotation reference"/>
    <w:basedOn w:val="30"/>
    <w:autoRedefine/>
    <w:semiHidden/>
    <w:unhideWhenUsed/>
    <w:qFormat/>
    <w:uiPriority w:val="99"/>
    <w:rPr>
      <w:sz w:val="21"/>
      <w:szCs w:val="21"/>
    </w:rPr>
  </w:style>
  <w:style w:type="character" w:customStyle="1" w:styleId="35">
    <w:name w:val="页眉 字符"/>
    <w:basedOn w:val="30"/>
    <w:link w:val="19"/>
    <w:autoRedefine/>
    <w:qFormat/>
    <w:uiPriority w:val="99"/>
    <w:rPr>
      <w:sz w:val="18"/>
      <w:szCs w:val="18"/>
    </w:rPr>
  </w:style>
  <w:style w:type="character" w:customStyle="1" w:styleId="36">
    <w:name w:val="页脚 字符"/>
    <w:basedOn w:val="30"/>
    <w:link w:val="18"/>
    <w:autoRedefine/>
    <w:qFormat/>
    <w:uiPriority w:val="99"/>
    <w:rPr>
      <w:sz w:val="18"/>
      <w:szCs w:val="18"/>
    </w:rPr>
  </w:style>
  <w:style w:type="paragraph" w:customStyle="1" w:styleId="37">
    <w:name w:val="Default"/>
    <w:basedOn w:val="1"/>
    <w:autoRedefine/>
    <w:qFormat/>
    <w:uiPriority w:val="0"/>
    <w:pPr>
      <w:autoSpaceDE w:val="0"/>
      <w:autoSpaceDN w:val="0"/>
      <w:jc w:val="left"/>
    </w:pPr>
    <w:rPr>
      <w:rFonts w:hint="eastAsia" w:ascii="..ì." w:hAnsi="..ì." w:eastAsia="..ì." w:cs="Times New Roman"/>
      <w:color w:val="000000"/>
      <w:kern w:val="0"/>
      <w:sz w:val="24"/>
    </w:rPr>
  </w:style>
  <w:style w:type="character" w:customStyle="1" w:styleId="38">
    <w:name w:val="标题 8 字符"/>
    <w:basedOn w:val="30"/>
    <w:link w:val="7"/>
    <w:autoRedefine/>
    <w:qFormat/>
    <w:uiPriority w:val="0"/>
    <w:rPr>
      <w:rFonts w:ascii="Times New Roman" w:hAnsi="Times New Roman" w:eastAsia="黑体" w:cs="Times New Roman"/>
      <w:b/>
      <w:bCs/>
      <w:sz w:val="18"/>
      <w:szCs w:val="24"/>
    </w:rPr>
  </w:style>
  <w:style w:type="character" w:customStyle="1" w:styleId="39">
    <w:name w:val="日期 字符"/>
    <w:basedOn w:val="30"/>
    <w:link w:val="16"/>
    <w:autoRedefine/>
    <w:qFormat/>
    <w:uiPriority w:val="0"/>
    <w:rPr>
      <w:rFonts w:ascii="Times New Roman" w:hAnsi="Times New Roman" w:eastAsia="宋体" w:cs="Times New Roman"/>
      <w:sz w:val="28"/>
      <w:szCs w:val="24"/>
    </w:rPr>
  </w:style>
  <w:style w:type="character" w:customStyle="1" w:styleId="40">
    <w:name w:val="标题 3 字符"/>
    <w:basedOn w:val="30"/>
    <w:link w:val="4"/>
    <w:autoRedefine/>
    <w:qFormat/>
    <w:uiPriority w:val="0"/>
    <w:rPr>
      <w:rFonts w:eastAsiaTheme="minorEastAsia"/>
      <w:bCs/>
      <w:snapToGrid w:val="0"/>
      <w:kern w:val="2"/>
      <w:sz w:val="21"/>
      <w:szCs w:val="32"/>
    </w:rPr>
  </w:style>
  <w:style w:type="paragraph" w:customStyle="1" w:styleId="41">
    <w:name w:val="条文说明"/>
    <w:next w:val="1"/>
    <w:autoRedefine/>
    <w:qFormat/>
    <w:uiPriority w:val="0"/>
    <w:pPr>
      <w:spacing w:line="340" w:lineRule="exact"/>
    </w:pPr>
    <w:rPr>
      <w:rFonts w:ascii="Times New Roman" w:hAnsi="Times New Roman" w:eastAsia="宋体" w:cs="Times New Roman"/>
      <w:color w:val="4BACC6"/>
      <w:kern w:val="2"/>
      <w:sz w:val="21"/>
      <w:szCs w:val="24"/>
      <w:lang w:val="en-US" w:eastAsia="zh-CN" w:bidi="ar-SA"/>
    </w:rPr>
  </w:style>
  <w:style w:type="paragraph" w:styleId="42">
    <w:name w:val="List Paragraph"/>
    <w:basedOn w:val="1"/>
    <w:autoRedefine/>
    <w:qFormat/>
    <w:uiPriority w:val="0"/>
    <w:pPr>
      <w:ind w:firstLine="420"/>
    </w:pPr>
  </w:style>
  <w:style w:type="character" w:customStyle="1" w:styleId="43">
    <w:name w:val="批注框文本 字符"/>
    <w:basedOn w:val="30"/>
    <w:link w:val="17"/>
    <w:autoRedefine/>
    <w:semiHidden/>
    <w:qFormat/>
    <w:uiPriority w:val="99"/>
    <w:rPr>
      <w:kern w:val="2"/>
      <w:sz w:val="18"/>
      <w:szCs w:val="18"/>
    </w:rPr>
  </w:style>
  <w:style w:type="paragraph" w:customStyle="1" w:styleId="44">
    <w:name w:val="修订1"/>
    <w:autoRedefine/>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45">
    <w:name w:val="style71"/>
    <w:basedOn w:val="30"/>
    <w:autoRedefine/>
    <w:qFormat/>
    <w:uiPriority w:val="0"/>
    <w:rPr>
      <w:sz w:val="24"/>
      <w:szCs w:val="24"/>
    </w:rPr>
  </w:style>
  <w:style w:type="paragraph" w:customStyle="1" w:styleId="46">
    <w:name w:val="Table Text"/>
    <w:basedOn w:val="1"/>
    <w:autoRedefine/>
    <w:semiHidden/>
    <w:qFormat/>
    <w:uiPriority w:val="0"/>
    <w:rPr>
      <w:rFonts w:ascii="宋体" w:hAnsi="宋体" w:eastAsia="宋体" w:cs="宋体"/>
      <w:sz w:val="24"/>
      <w:szCs w:val="24"/>
      <w:lang w:eastAsia="en-US"/>
    </w:rPr>
  </w:style>
  <w:style w:type="table" w:customStyle="1" w:styleId="47">
    <w:name w:val="Table Normal"/>
    <w:autoRedefine/>
    <w:semiHidden/>
    <w:unhideWhenUsed/>
    <w:qFormat/>
    <w:uiPriority w:val="0"/>
    <w:tblPr>
      <w:tblCellMar>
        <w:top w:w="0" w:type="dxa"/>
        <w:left w:w="0" w:type="dxa"/>
        <w:bottom w:w="0" w:type="dxa"/>
        <w:right w:w="0" w:type="dxa"/>
      </w:tblCellMar>
    </w:tblPr>
  </w:style>
  <w:style w:type="character" w:customStyle="1" w:styleId="48">
    <w:name w:val="批注文字 字符"/>
    <w:basedOn w:val="30"/>
    <w:link w:val="9"/>
    <w:autoRedefine/>
    <w:qFormat/>
    <w:uiPriority w:val="99"/>
    <w:rPr>
      <w:rFonts w:asciiTheme="minorHAnsi" w:hAnsiTheme="minorHAnsi" w:eastAsiaTheme="minorEastAsia" w:cstheme="minorBidi"/>
      <w:kern w:val="2"/>
      <w:sz w:val="21"/>
      <w:szCs w:val="22"/>
    </w:rPr>
  </w:style>
  <w:style w:type="character" w:customStyle="1" w:styleId="49">
    <w:name w:val="批注主题 字符"/>
    <w:basedOn w:val="48"/>
    <w:link w:val="26"/>
    <w:autoRedefine/>
    <w:semiHidden/>
    <w:qFormat/>
    <w:uiPriority w:val="99"/>
    <w:rPr>
      <w:rFonts w:asciiTheme="minorHAnsi" w:hAnsiTheme="minorHAnsi" w:eastAsiaTheme="minorEastAsia" w:cstheme="minorBidi"/>
      <w:b/>
      <w:bCs/>
      <w:kern w:val="2"/>
      <w:sz w:val="21"/>
      <w:szCs w:val="22"/>
    </w:rPr>
  </w:style>
  <w:style w:type="character" w:customStyle="1" w:styleId="50">
    <w:name w:val="标题 6 字符"/>
    <w:basedOn w:val="30"/>
    <w:link w:val="6"/>
    <w:semiHidden/>
    <w:qFormat/>
    <w:uiPriority w:val="9"/>
    <w:rPr>
      <w:rFonts w:asciiTheme="majorHAnsi" w:hAnsiTheme="majorHAnsi" w:eastAsiaTheme="majorEastAsia" w:cstheme="majorBidi"/>
      <w:b/>
      <w:bCs/>
      <w:kern w:val="2"/>
      <w:sz w:val="24"/>
      <w:szCs w:val="24"/>
    </w:rPr>
  </w:style>
  <w:style w:type="character" w:customStyle="1" w:styleId="51">
    <w:name w:val="正文文本缩进 字符"/>
    <w:basedOn w:val="30"/>
    <w:link w:val="11"/>
    <w:semiHidden/>
    <w:qFormat/>
    <w:uiPriority w:val="99"/>
    <w:rPr>
      <w:rFonts w:asciiTheme="minorHAnsi" w:hAnsiTheme="minorHAnsi" w:eastAsiaTheme="minorEastAsia" w:cstheme="minorBidi"/>
      <w:kern w:val="2"/>
      <w:sz w:val="21"/>
      <w:szCs w:val="22"/>
    </w:rPr>
  </w:style>
  <w:style w:type="character" w:customStyle="1" w:styleId="52">
    <w:name w:val="正文文本首行缩进 2 字符"/>
    <w:basedOn w:val="51"/>
    <w:link w:val="27"/>
    <w:semiHidden/>
    <w:qFormat/>
    <w:uiPriority w:val="99"/>
    <w:rPr>
      <w:rFonts w:asciiTheme="minorHAnsi" w:hAnsiTheme="minorHAnsi" w:eastAsiaTheme="minorEastAsia" w:cstheme="minorBidi"/>
      <w:kern w:val="2"/>
      <w:sz w:val="21"/>
      <w:szCs w:val="22"/>
    </w:rPr>
  </w:style>
  <w:style w:type="character" w:customStyle="1" w:styleId="53">
    <w:name w:val="纯文本 字符"/>
    <w:basedOn w:val="30"/>
    <w:link w:val="14"/>
    <w:qFormat/>
    <w:uiPriority w:val="0"/>
    <w:rPr>
      <w:rFonts w:ascii="宋体" w:hAnsi="Courier New"/>
      <w:sz w:val="21"/>
      <w:szCs w:val="21"/>
    </w:rPr>
  </w:style>
  <w:style w:type="character" w:customStyle="1" w:styleId="54">
    <w:name w:val="标题 1 字符"/>
    <w:basedOn w:val="30"/>
    <w:link w:val="2"/>
    <w:qFormat/>
    <w:uiPriority w:val="9"/>
    <w:rPr>
      <w:rFonts w:eastAsiaTheme="minorEastAsia" w:cstheme="minorBidi"/>
      <w:b/>
      <w:bCs/>
      <w:kern w:val="44"/>
      <w:sz w:val="28"/>
      <w:szCs w:val="44"/>
    </w:rPr>
  </w:style>
  <w:style w:type="paragraph" w:customStyle="1" w:styleId="55">
    <w:name w:val="表格"/>
    <w:basedOn w:val="1"/>
    <w:qFormat/>
    <w:uiPriority w:val="0"/>
    <w:pPr>
      <w:wordWrap w:val="0"/>
      <w:spacing w:before="10" w:beforeLines="10" w:after="10" w:afterLines="10" w:line="278" w:lineRule="auto"/>
      <w:ind w:firstLine="0" w:firstLineChars="0"/>
      <w:jc w:val="center"/>
    </w:pPr>
  </w:style>
  <w:style w:type="paragraph" w:customStyle="1" w:styleId="56">
    <w:name w:val="表头"/>
    <w:basedOn w:val="1"/>
    <w:qFormat/>
    <w:uiPriority w:val="0"/>
    <w:pPr>
      <w:spacing w:after="0"/>
      <w:ind w:firstLine="0" w:firstLineChars="0"/>
      <w:jc w:val="center"/>
    </w:pPr>
    <w:rPr>
      <w:b/>
      <w:szCs w:val="21"/>
    </w:rPr>
  </w:style>
  <w:style w:type="paragraph" w:customStyle="1" w:styleId="57">
    <w:name w:val="表注"/>
    <w:basedOn w:val="10"/>
    <w:qFormat/>
    <w:uiPriority w:val="0"/>
    <w:pPr>
      <w:spacing w:after="160"/>
      <w:ind w:firstLine="0" w:firstLineChars="0"/>
    </w:pPr>
    <w:rPr>
      <w:sz w:val="18"/>
    </w:rPr>
  </w:style>
  <w:style w:type="paragraph" w:customStyle="1" w:styleId="58">
    <w:name w:val="附录图标题"/>
    <w:basedOn w:val="1"/>
    <w:next w:val="1"/>
    <w:qFormat/>
    <w:uiPriority w:val="0"/>
    <w:pPr>
      <w:numPr>
        <w:ilvl w:val="1"/>
        <w:numId w:val="1"/>
      </w:numPr>
      <w:tabs>
        <w:tab w:val="left" w:pos="363"/>
      </w:tabs>
      <w:adjustRightInd/>
      <w:snapToGrid/>
      <w:spacing w:before="50" w:beforeLines="50" w:after="50" w:afterLines="50" w:line="240" w:lineRule="auto"/>
      <w:ind w:left="0" w:firstLine="0" w:firstLineChars="0"/>
      <w:jc w:val="center"/>
    </w:pPr>
    <w:rPr>
      <w:rFonts w:ascii="黑体" w:eastAsia="黑体" w:cs="Times New Roman"/>
      <w:szCs w:val="21"/>
    </w:rPr>
  </w:style>
  <w:style w:type="paragraph" w:customStyle="1" w:styleId="59">
    <w:name w:val="附录一级无"/>
    <w:basedOn w:val="1"/>
    <w:qFormat/>
    <w:uiPriority w:val="0"/>
    <w:pPr>
      <w:widowControl/>
      <w:numPr>
        <w:ilvl w:val="2"/>
        <w:numId w:val="2"/>
      </w:numPr>
      <w:wordWrap w:val="0"/>
      <w:overflowPunct w:val="0"/>
      <w:autoSpaceDE w:val="0"/>
      <w:autoSpaceDN w:val="0"/>
      <w:adjustRightInd/>
      <w:snapToGrid/>
      <w:spacing w:after="0" w:line="240" w:lineRule="auto"/>
      <w:ind w:firstLine="0" w:firstLineChars="0"/>
      <w:textAlignment w:val="baseline"/>
      <w:outlineLvl w:val="2"/>
    </w:pPr>
    <w:rPr>
      <w:rFonts w:ascii="宋体" w:hAnsi="宋体" w:eastAsia="宋体" w:cs="Times New Roman"/>
      <w:kern w:val="21"/>
      <w:szCs w:val="21"/>
    </w:rPr>
  </w:style>
  <w:style w:type="paragraph" w:customStyle="1" w:styleId="60">
    <w:name w:val="一级无"/>
    <w:basedOn w:val="1"/>
    <w:qFormat/>
    <w:uiPriority w:val="0"/>
    <w:pPr>
      <w:widowControl/>
      <w:adjustRightInd/>
      <w:snapToGrid/>
      <w:spacing w:after="0" w:line="240" w:lineRule="auto"/>
      <w:ind w:firstLine="0" w:firstLineChars="0"/>
      <w:jc w:val="left"/>
      <w:outlineLvl w:val="2"/>
    </w:pPr>
    <w:rPr>
      <w:rFonts w:ascii="宋体" w:eastAsia="宋体" w:cs="Times New Roman"/>
      <w:kern w:val="0"/>
      <w:szCs w:val="21"/>
    </w:rPr>
  </w:style>
  <w:style w:type="paragraph" w:customStyle="1" w:styleId="61">
    <w:name w:val="附录章标题"/>
    <w:next w:val="1"/>
    <w:qFormat/>
    <w:uiPriority w:val="0"/>
    <w:pPr>
      <w:numPr>
        <w:ilvl w:val="1"/>
        <w:numId w:val="2"/>
      </w:numPr>
      <w:tabs>
        <w:tab w:val="left" w:pos="360"/>
      </w:tabs>
      <w:wordWrap w:val="0"/>
      <w:overflowPunct w:val="0"/>
      <w:autoSpaceDE w:val="0"/>
      <w:spacing w:before="100" w:beforeLines="100" w:after="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62">
    <w:name w:val="章标题"/>
    <w:next w:val="1"/>
    <w:qFormat/>
    <w:uiPriority w:val="0"/>
    <w:p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63">
    <w:name w:val="公式样式"/>
    <w:basedOn w:val="55"/>
    <w:qFormat/>
    <w:uiPriority w:val="0"/>
    <w:pPr>
      <w:spacing w:line="240" w:lineRule="auto"/>
      <w:jc w:val="left"/>
    </w:pPr>
  </w:style>
  <w:style w:type="character" w:customStyle="1" w:styleId="64">
    <w:name w:val="Unresolved Mention"/>
    <w:basedOn w:val="3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44.wmf"/><Relationship Id="rId98" Type="http://schemas.openxmlformats.org/officeDocument/2006/relationships/oleObject" Target="embeddings/oleObject42.bin"/><Relationship Id="rId97" Type="http://schemas.openxmlformats.org/officeDocument/2006/relationships/image" Target="media/image43.wmf"/><Relationship Id="rId96" Type="http://schemas.openxmlformats.org/officeDocument/2006/relationships/oleObject" Target="embeddings/oleObject41.bin"/><Relationship Id="rId95" Type="http://schemas.openxmlformats.org/officeDocument/2006/relationships/image" Target="media/image42.wmf"/><Relationship Id="rId94" Type="http://schemas.openxmlformats.org/officeDocument/2006/relationships/oleObject" Target="embeddings/oleObject40.bin"/><Relationship Id="rId93" Type="http://schemas.openxmlformats.org/officeDocument/2006/relationships/image" Target="media/image41.wmf"/><Relationship Id="rId92" Type="http://schemas.openxmlformats.org/officeDocument/2006/relationships/oleObject" Target="embeddings/oleObject39.bin"/><Relationship Id="rId91" Type="http://schemas.openxmlformats.org/officeDocument/2006/relationships/image" Target="media/image40.wmf"/><Relationship Id="rId90" Type="http://schemas.openxmlformats.org/officeDocument/2006/relationships/oleObject" Target="embeddings/oleObject38.bin"/><Relationship Id="rId9" Type="http://schemas.openxmlformats.org/officeDocument/2006/relationships/footer" Target="footer2.xml"/><Relationship Id="rId89" Type="http://schemas.openxmlformats.org/officeDocument/2006/relationships/image" Target="media/image39.wmf"/><Relationship Id="rId88" Type="http://schemas.openxmlformats.org/officeDocument/2006/relationships/oleObject" Target="embeddings/oleObject37.bin"/><Relationship Id="rId87" Type="http://schemas.openxmlformats.org/officeDocument/2006/relationships/image" Target="media/image38.wmf"/><Relationship Id="rId86" Type="http://schemas.openxmlformats.org/officeDocument/2006/relationships/oleObject" Target="embeddings/oleObject36.bin"/><Relationship Id="rId85" Type="http://schemas.openxmlformats.org/officeDocument/2006/relationships/image" Target="media/image37.wmf"/><Relationship Id="rId84" Type="http://schemas.openxmlformats.org/officeDocument/2006/relationships/oleObject" Target="embeddings/oleObject35.bin"/><Relationship Id="rId83" Type="http://schemas.openxmlformats.org/officeDocument/2006/relationships/image" Target="media/image36.wmf"/><Relationship Id="rId82" Type="http://schemas.openxmlformats.org/officeDocument/2006/relationships/oleObject" Target="embeddings/oleObject34.bin"/><Relationship Id="rId81" Type="http://schemas.openxmlformats.org/officeDocument/2006/relationships/image" Target="media/image35.wmf"/><Relationship Id="rId80" Type="http://schemas.openxmlformats.org/officeDocument/2006/relationships/oleObject" Target="embeddings/oleObject33.bin"/><Relationship Id="rId8" Type="http://schemas.openxmlformats.org/officeDocument/2006/relationships/footer" Target="footer1.xml"/><Relationship Id="rId79" Type="http://schemas.openxmlformats.org/officeDocument/2006/relationships/image" Target="media/image34.wmf"/><Relationship Id="rId78" Type="http://schemas.openxmlformats.org/officeDocument/2006/relationships/oleObject" Target="embeddings/oleObject32.bin"/><Relationship Id="rId77" Type="http://schemas.openxmlformats.org/officeDocument/2006/relationships/image" Target="media/image33.wmf"/><Relationship Id="rId76" Type="http://schemas.openxmlformats.org/officeDocument/2006/relationships/oleObject" Target="embeddings/oleObject31.bin"/><Relationship Id="rId75" Type="http://schemas.openxmlformats.org/officeDocument/2006/relationships/image" Target="media/image32.wmf"/><Relationship Id="rId74" Type="http://schemas.openxmlformats.org/officeDocument/2006/relationships/oleObject" Target="embeddings/oleObject30.bin"/><Relationship Id="rId73" Type="http://schemas.openxmlformats.org/officeDocument/2006/relationships/image" Target="media/image31.wmf"/><Relationship Id="rId72" Type="http://schemas.openxmlformats.org/officeDocument/2006/relationships/oleObject" Target="embeddings/oleObject29.bin"/><Relationship Id="rId71" Type="http://schemas.openxmlformats.org/officeDocument/2006/relationships/image" Target="media/image30.emf"/><Relationship Id="rId70" Type="http://schemas.openxmlformats.org/officeDocument/2006/relationships/image" Target="media/image29.emf"/><Relationship Id="rId7" Type="http://schemas.openxmlformats.org/officeDocument/2006/relationships/header" Target="header3.xml"/><Relationship Id="rId69" Type="http://schemas.openxmlformats.org/officeDocument/2006/relationships/image" Target="media/image28.wmf"/><Relationship Id="rId68" Type="http://schemas.openxmlformats.org/officeDocument/2006/relationships/oleObject" Target="embeddings/oleObject28.bin"/><Relationship Id="rId67" Type="http://schemas.openxmlformats.org/officeDocument/2006/relationships/image" Target="media/image27.wmf"/><Relationship Id="rId66" Type="http://schemas.openxmlformats.org/officeDocument/2006/relationships/oleObject" Target="embeddings/oleObject27.bin"/><Relationship Id="rId65" Type="http://schemas.openxmlformats.org/officeDocument/2006/relationships/image" Target="media/image26.wmf"/><Relationship Id="rId64" Type="http://schemas.openxmlformats.org/officeDocument/2006/relationships/oleObject" Target="embeddings/oleObject26.bin"/><Relationship Id="rId63" Type="http://schemas.openxmlformats.org/officeDocument/2006/relationships/image" Target="media/image25.wmf"/><Relationship Id="rId62" Type="http://schemas.openxmlformats.org/officeDocument/2006/relationships/oleObject" Target="embeddings/oleObject25.bin"/><Relationship Id="rId61" Type="http://schemas.openxmlformats.org/officeDocument/2006/relationships/image" Target="media/image24.wmf"/><Relationship Id="rId60" Type="http://schemas.openxmlformats.org/officeDocument/2006/relationships/oleObject" Target="embeddings/oleObject24.bin"/><Relationship Id="rId6" Type="http://schemas.openxmlformats.org/officeDocument/2006/relationships/header" Target="header2.xml"/><Relationship Id="rId59" Type="http://schemas.openxmlformats.org/officeDocument/2006/relationships/image" Target="media/image23.wmf"/><Relationship Id="rId58" Type="http://schemas.openxmlformats.org/officeDocument/2006/relationships/oleObject" Target="embeddings/oleObject23.bin"/><Relationship Id="rId570" Type="http://schemas.openxmlformats.org/officeDocument/2006/relationships/fontTable" Target="fontTable.xml"/><Relationship Id="rId57" Type="http://schemas.openxmlformats.org/officeDocument/2006/relationships/image" Target="media/image22.wmf"/><Relationship Id="rId569" Type="http://schemas.openxmlformats.org/officeDocument/2006/relationships/customXml" Target="../customXml/item2.xml"/><Relationship Id="rId568" Type="http://schemas.openxmlformats.org/officeDocument/2006/relationships/numbering" Target="numbering.xml"/><Relationship Id="rId567" Type="http://schemas.openxmlformats.org/officeDocument/2006/relationships/customXml" Target="../customXml/item1.xml"/><Relationship Id="rId566" Type="http://schemas.openxmlformats.org/officeDocument/2006/relationships/image" Target="media/image299.wmf"/><Relationship Id="rId565" Type="http://schemas.openxmlformats.org/officeDocument/2006/relationships/image" Target="media/image298.wmf"/><Relationship Id="rId564" Type="http://schemas.openxmlformats.org/officeDocument/2006/relationships/image" Target="media/image297.wmf"/><Relationship Id="rId563" Type="http://schemas.openxmlformats.org/officeDocument/2006/relationships/oleObject" Target="embeddings/oleObject254.bin"/><Relationship Id="rId562" Type="http://schemas.openxmlformats.org/officeDocument/2006/relationships/image" Target="media/image296.wmf"/><Relationship Id="rId561" Type="http://schemas.openxmlformats.org/officeDocument/2006/relationships/image" Target="media/image295.wmf"/><Relationship Id="rId560" Type="http://schemas.openxmlformats.org/officeDocument/2006/relationships/image" Target="media/image294.wmf"/><Relationship Id="rId56" Type="http://schemas.openxmlformats.org/officeDocument/2006/relationships/oleObject" Target="embeddings/oleObject22.bin"/><Relationship Id="rId559" Type="http://schemas.openxmlformats.org/officeDocument/2006/relationships/image" Target="media/image293.png"/><Relationship Id="rId558" Type="http://schemas.openxmlformats.org/officeDocument/2006/relationships/image" Target="media/image292.wmf"/><Relationship Id="rId557" Type="http://schemas.openxmlformats.org/officeDocument/2006/relationships/oleObject" Target="embeddings/oleObject253.bin"/><Relationship Id="rId556" Type="http://schemas.openxmlformats.org/officeDocument/2006/relationships/oleObject" Target="embeddings/oleObject252.bin"/><Relationship Id="rId555" Type="http://schemas.openxmlformats.org/officeDocument/2006/relationships/image" Target="media/image291.wmf"/><Relationship Id="rId554" Type="http://schemas.openxmlformats.org/officeDocument/2006/relationships/image" Target="media/image290.wmf"/><Relationship Id="rId553" Type="http://schemas.openxmlformats.org/officeDocument/2006/relationships/image" Target="media/image289.wmf"/><Relationship Id="rId552" Type="http://schemas.openxmlformats.org/officeDocument/2006/relationships/image" Target="media/image288.wmf"/><Relationship Id="rId551" Type="http://schemas.openxmlformats.org/officeDocument/2006/relationships/image" Target="media/image287.wmf"/><Relationship Id="rId550" Type="http://schemas.openxmlformats.org/officeDocument/2006/relationships/image" Target="media/image286.wmf"/><Relationship Id="rId55" Type="http://schemas.openxmlformats.org/officeDocument/2006/relationships/image" Target="media/image21.wmf"/><Relationship Id="rId549" Type="http://schemas.openxmlformats.org/officeDocument/2006/relationships/image" Target="media/image285.png"/><Relationship Id="rId548" Type="http://schemas.openxmlformats.org/officeDocument/2006/relationships/image" Target="media/image284.wmf"/><Relationship Id="rId547" Type="http://schemas.openxmlformats.org/officeDocument/2006/relationships/image" Target="media/image283.wmf"/><Relationship Id="rId546" Type="http://schemas.openxmlformats.org/officeDocument/2006/relationships/image" Target="media/image282.wmf"/><Relationship Id="rId545" Type="http://schemas.openxmlformats.org/officeDocument/2006/relationships/image" Target="media/image281.wmf"/><Relationship Id="rId544" Type="http://schemas.openxmlformats.org/officeDocument/2006/relationships/image" Target="media/image280.wmf"/><Relationship Id="rId543" Type="http://schemas.openxmlformats.org/officeDocument/2006/relationships/image" Target="media/image279.wmf"/><Relationship Id="rId542" Type="http://schemas.openxmlformats.org/officeDocument/2006/relationships/image" Target="media/image278.wmf"/><Relationship Id="rId541" Type="http://schemas.openxmlformats.org/officeDocument/2006/relationships/oleObject" Target="embeddings/oleObject251.bin"/><Relationship Id="rId540" Type="http://schemas.openxmlformats.org/officeDocument/2006/relationships/image" Target="media/image277.wmf"/><Relationship Id="rId54" Type="http://schemas.openxmlformats.org/officeDocument/2006/relationships/oleObject" Target="embeddings/oleObject21.bin"/><Relationship Id="rId539" Type="http://schemas.openxmlformats.org/officeDocument/2006/relationships/oleObject" Target="embeddings/oleObject250.bin"/><Relationship Id="rId538" Type="http://schemas.openxmlformats.org/officeDocument/2006/relationships/oleObject" Target="embeddings/oleObject249.bin"/><Relationship Id="rId537" Type="http://schemas.openxmlformats.org/officeDocument/2006/relationships/image" Target="media/image276.wmf"/><Relationship Id="rId536" Type="http://schemas.openxmlformats.org/officeDocument/2006/relationships/oleObject" Target="embeddings/oleObject248.bin"/><Relationship Id="rId535" Type="http://schemas.openxmlformats.org/officeDocument/2006/relationships/image" Target="media/image275.wmf"/><Relationship Id="rId534" Type="http://schemas.openxmlformats.org/officeDocument/2006/relationships/oleObject" Target="embeddings/oleObject247.bin"/><Relationship Id="rId533" Type="http://schemas.openxmlformats.org/officeDocument/2006/relationships/image" Target="media/image274.wmf"/><Relationship Id="rId532" Type="http://schemas.openxmlformats.org/officeDocument/2006/relationships/oleObject" Target="embeddings/oleObject246.bin"/><Relationship Id="rId531" Type="http://schemas.openxmlformats.org/officeDocument/2006/relationships/image" Target="media/image273.wmf"/><Relationship Id="rId530" Type="http://schemas.openxmlformats.org/officeDocument/2006/relationships/oleObject" Target="embeddings/oleObject245.bin"/><Relationship Id="rId53" Type="http://schemas.openxmlformats.org/officeDocument/2006/relationships/image" Target="media/image20.wmf"/><Relationship Id="rId529" Type="http://schemas.openxmlformats.org/officeDocument/2006/relationships/image" Target="media/image272.wmf"/><Relationship Id="rId528" Type="http://schemas.openxmlformats.org/officeDocument/2006/relationships/oleObject" Target="embeddings/oleObject244.bin"/><Relationship Id="rId527" Type="http://schemas.openxmlformats.org/officeDocument/2006/relationships/image" Target="media/image271.wmf"/><Relationship Id="rId526" Type="http://schemas.openxmlformats.org/officeDocument/2006/relationships/oleObject" Target="embeddings/oleObject243.bin"/><Relationship Id="rId525" Type="http://schemas.openxmlformats.org/officeDocument/2006/relationships/image" Target="media/image270.wmf"/><Relationship Id="rId524" Type="http://schemas.openxmlformats.org/officeDocument/2006/relationships/oleObject" Target="embeddings/oleObject242.bin"/><Relationship Id="rId523" Type="http://schemas.openxmlformats.org/officeDocument/2006/relationships/image" Target="media/image269.emf"/><Relationship Id="rId522" Type="http://schemas.openxmlformats.org/officeDocument/2006/relationships/image" Target="media/image268.emf"/><Relationship Id="rId521" Type="http://schemas.openxmlformats.org/officeDocument/2006/relationships/image" Target="media/image267.emf"/><Relationship Id="rId520" Type="http://schemas.openxmlformats.org/officeDocument/2006/relationships/image" Target="media/image266.emf"/><Relationship Id="rId52" Type="http://schemas.openxmlformats.org/officeDocument/2006/relationships/oleObject" Target="embeddings/oleObject20.bin"/><Relationship Id="rId519" Type="http://schemas.openxmlformats.org/officeDocument/2006/relationships/image" Target="media/image265.emf"/><Relationship Id="rId518" Type="http://schemas.openxmlformats.org/officeDocument/2006/relationships/image" Target="media/image264.emf"/><Relationship Id="rId517" Type="http://schemas.openxmlformats.org/officeDocument/2006/relationships/image" Target="media/image263.emf"/><Relationship Id="rId516" Type="http://schemas.openxmlformats.org/officeDocument/2006/relationships/image" Target="media/image262.emf"/><Relationship Id="rId515" Type="http://schemas.openxmlformats.org/officeDocument/2006/relationships/image" Target="media/image261.png"/><Relationship Id="rId514" Type="http://schemas.openxmlformats.org/officeDocument/2006/relationships/image" Target="media/image260.png"/><Relationship Id="rId513" Type="http://schemas.openxmlformats.org/officeDocument/2006/relationships/image" Target="media/image259.emf"/><Relationship Id="rId512" Type="http://schemas.openxmlformats.org/officeDocument/2006/relationships/image" Target="media/image258.emf"/><Relationship Id="rId511" Type="http://schemas.openxmlformats.org/officeDocument/2006/relationships/image" Target="media/image257.png"/><Relationship Id="rId510" Type="http://schemas.openxmlformats.org/officeDocument/2006/relationships/image" Target="media/image256.png"/><Relationship Id="rId51" Type="http://schemas.openxmlformats.org/officeDocument/2006/relationships/image" Target="media/image19.wmf"/><Relationship Id="rId509" Type="http://schemas.openxmlformats.org/officeDocument/2006/relationships/image" Target="media/image255.png"/><Relationship Id="rId508" Type="http://schemas.openxmlformats.org/officeDocument/2006/relationships/image" Target="media/image254.png"/><Relationship Id="rId507" Type="http://schemas.openxmlformats.org/officeDocument/2006/relationships/image" Target="media/image253.png"/><Relationship Id="rId506" Type="http://schemas.openxmlformats.org/officeDocument/2006/relationships/image" Target="media/image252.png"/><Relationship Id="rId505" Type="http://schemas.openxmlformats.org/officeDocument/2006/relationships/image" Target="media/image251.png"/><Relationship Id="rId504" Type="http://schemas.openxmlformats.org/officeDocument/2006/relationships/image" Target="media/image250.png"/><Relationship Id="rId503" Type="http://schemas.openxmlformats.org/officeDocument/2006/relationships/image" Target="media/image249.emf"/><Relationship Id="rId502" Type="http://schemas.openxmlformats.org/officeDocument/2006/relationships/image" Target="media/image248.png"/><Relationship Id="rId501" Type="http://schemas.openxmlformats.org/officeDocument/2006/relationships/image" Target="media/image247.png"/><Relationship Id="rId500" Type="http://schemas.openxmlformats.org/officeDocument/2006/relationships/image" Target="media/image246.emf"/><Relationship Id="rId50" Type="http://schemas.openxmlformats.org/officeDocument/2006/relationships/oleObject" Target="embeddings/oleObject19.bin"/><Relationship Id="rId5" Type="http://schemas.openxmlformats.org/officeDocument/2006/relationships/header" Target="header1.xml"/><Relationship Id="rId499" Type="http://schemas.openxmlformats.org/officeDocument/2006/relationships/image" Target="media/image245.emf"/><Relationship Id="rId498" Type="http://schemas.openxmlformats.org/officeDocument/2006/relationships/image" Target="media/image244.emf"/><Relationship Id="rId497" Type="http://schemas.openxmlformats.org/officeDocument/2006/relationships/image" Target="media/image243.emf"/><Relationship Id="rId496" Type="http://schemas.openxmlformats.org/officeDocument/2006/relationships/image" Target="media/image242.emf"/><Relationship Id="rId495" Type="http://schemas.openxmlformats.org/officeDocument/2006/relationships/image" Target="media/image241.emf"/><Relationship Id="rId494" Type="http://schemas.openxmlformats.org/officeDocument/2006/relationships/image" Target="media/image240.emf"/><Relationship Id="rId493" Type="http://schemas.openxmlformats.org/officeDocument/2006/relationships/image" Target="media/image239.emf"/><Relationship Id="rId492" Type="http://schemas.openxmlformats.org/officeDocument/2006/relationships/image" Target="media/image238.emf"/><Relationship Id="rId491" Type="http://schemas.openxmlformats.org/officeDocument/2006/relationships/image" Target="media/image237.emf"/><Relationship Id="rId490" Type="http://schemas.openxmlformats.org/officeDocument/2006/relationships/image" Target="media/image236.emf"/><Relationship Id="rId49" Type="http://schemas.openxmlformats.org/officeDocument/2006/relationships/oleObject" Target="embeddings/oleObject18.bin"/><Relationship Id="rId489" Type="http://schemas.openxmlformats.org/officeDocument/2006/relationships/image" Target="media/image235.emf"/><Relationship Id="rId488" Type="http://schemas.openxmlformats.org/officeDocument/2006/relationships/image" Target="media/image234.emf"/><Relationship Id="rId487" Type="http://schemas.openxmlformats.org/officeDocument/2006/relationships/image" Target="media/image233.emf"/><Relationship Id="rId486" Type="http://schemas.openxmlformats.org/officeDocument/2006/relationships/image" Target="media/image232.wmf"/><Relationship Id="rId485" Type="http://schemas.openxmlformats.org/officeDocument/2006/relationships/oleObject" Target="embeddings/oleObject241.bin"/><Relationship Id="rId484" Type="http://schemas.openxmlformats.org/officeDocument/2006/relationships/image" Target="media/image231.emf"/><Relationship Id="rId483" Type="http://schemas.openxmlformats.org/officeDocument/2006/relationships/image" Target="media/image230.wmf"/><Relationship Id="rId482" Type="http://schemas.openxmlformats.org/officeDocument/2006/relationships/oleObject" Target="embeddings/oleObject240.bin"/><Relationship Id="rId481" Type="http://schemas.openxmlformats.org/officeDocument/2006/relationships/image" Target="media/image229.wmf"/><Relationship Id="rId480" Type="http://schemas.openxmlformats.org/officeDocument/2006/relationships/oleObject" Target="embeddings/oleObject239.bin"/><Relationship Id="rId48" Type="http://schemas.openxmlformats.org/officeDocument/2006/relationships/image" Target="media/image18.wmf"/><Relationship Id="rId479" Type="http://schemas.openxmlformats.org/officeDocument/2006/relationships/image" Target="media/image228.emf"/><Relationship Id="rId478" Type="http://schemas.openxmlformats.org/officeDocument/2006/relationships/image" Target="media/image227.wmf"/><Relationship Id="rId477" Type="http://schemas.openxmlformats.org/officeDocument/2006/relationships/oleObject" Target="embeddings/oleObject238.bin"/><Relationship Id="rId476" Type="http://schemas.openxmlformats.org/officeDocument/2006/relationships/image" Target="media/image226.wmf"/><Relationship Id="rId475" Type="http://schemas.openxmlformats.org/officeDocument/2006/relationships/oleObject" Target="embeddings/oleObject237.bin"/><Relationship Id="rId474" Type="http://schemas.openxmlformats.org/officeDocument/2006/relationships/image" Target="media/image225.wmf"/><Relationship Id="rId473" Type="http://schemas.openxmlformats.org/officeDocument/2006/relationships/oleObject" Target="embeddings/oleObject236.bin"/><Relationship Id="rId472" Type="http://schemas.openxmlformats.org/officeDocument/2006/relationships/image" Target="media/image224.wmf"/><Relationship Id="rId471" Type="http://schemas.openxmlformats.org/officeDocument/2006/relationships/oleObject" Target="embeddings/oleObject235.bin"/><Relationship Id="rId470" Type="http://schemas.openxmlformats.org/officeDocument/2006/relationships/image" Target="media/image223.wmf"/><Relationship Id="rId47" Type="http://schemas.openxmlformats.org/officeDocument/2006/relationships/oleObject" Target="embeddings/oleObject17.bin"/><Relationship Id="rId469" Type="http://schemas.openxmlformats.org/officeDocument/2006/relationships/oleObject" Target="embeddings/oleObject234.bin"/><Relationship Id="rId468" Type="http://schemas.openxmlformats.org/officeDocument/2006/relationships/image" Target="media/image222.wmf"/><Relationship Id="rId467" Type="http://schemas.openxmlformats.org/officeDocument/2006/relationships/oleObject" Target="embeddings/oleObject233.bin"/><Relationship Id="rId466" Type="http://schemas.openxmlformats.org/officeDocument/2006/relationships/image" Target="media/image221.emf"/><Relationship Id="rId465" Type="http://schemas.openxmlformats.org/officeDocument/2006/relationships/image" Target="media/image220.png"/><Relationship Id="rId464" Type="http://schemas.openxmlformats.org/officeDocument/2006/relationships/image" Target="media/image219.png"/><Relationship Id="rId463" Type="http://schemas.openxmlformats.org/officeDocument/2006/relationships/image" Target="media/image218.emf"/><Relationship Id="rId462" Type="http://schemas.openxmlformats.org/officeDocument/2006/relationships/image" Target="media/image217.emf"/><Relationship Id="rId461" Type="http://schemas.openxmlformats.org/officeDocument/2006/relationships/image" Target="media/image216.emf"/><Relationship Id="rId460" Type="http://schemas.openxmlformats.org/officeDocument/2006/relationships/image" Target="media/image215.wmf"/><Relationship Id="rId46" Type="http://schemas.openxmlformats.org/officeDocument/2006/relationships/image" Target="media/image17.wmf"/><Relationship Id="rId459" Type="http://schemas.openxmlformats.org/officeDocument/2006/relationships/oleObject" Target="embeddings/oleObject232.bin"/><Relationship Id="rId458" Type="http://schemas.openxmlformats.org/officeDocument/2006/relationships/image" Target="media/image214.wmf"/><Relationship Id="rId457" Type="http://schemas.openxmlformats.org/officeDocument/2006/relationships/oleObject" Target="embeddings/oleObject231.bin"/><Relationship Id="rId456" Type="http://schemas.openxmlformats.org/officeDocument/2006/relationships/image" Target="media/image213.wmf"/><Relationship Id="rId455" Type="http://schemas.openxmlformats.org/officeDocument/2006/relationships/oleObject" Target="embeddings/oleObject230.bin"/><Relationship Id="rId454" Type="http://schemas.openxmlformats.org/officeDocument/2006/relationships/image" Target="media/image212.wmf"/><Relationship Id="rId453" Type="http://schemas.openxmlformats.org/officeDocument/2006/relationships/oleObject" Target="embeddings/oleObject229.bin"/><Relationship Id="rId452" Type="http://schemas.openxmlformats.org/officeDocument/2006/relationships/image" Target="media/image211.wmf"/><Relationship Id="rId451" Type="http://schemas.openxmlformats.org/officeDocument/2006/relationships/oleObject" Target="embeddings/oleObject228.bin"/><Relationship Id="rId450" Type="http://schemas.openxmlformats.org/officeDocument/2006/relationships/image" Target="media/image210.wmf"/><Relationship Id="rId45" Type="http://schemas.openxmlformats.org/officeDocument/2006/relationships/oleObject" Target="embeddings/oleObject16.bin"/><Relationship Id="rId449" Type="http://schemas.openxmlformats.org/officeDocument/2006/relationships/oleObject" Target="embeddings/oleObject227.bin"/><Relationship Id="rId448" Type="http://schemas.openxmlformats.org/officeDocument/2006/relationships/oleObject" Target="embeddings/oleObject226.bin"/><Relationship Id="rId447" Type="http://schemas.openxmlformats.org/officeDocument/2006/relationships/oleObject" Target="embeddings/oleObject225.bin"/><Relationship Id="rId446" Type="http://schemas.openxmlformats.org/officeDocument/2006/relationships/image" Target="media/image209.wmf"/><Relationship Id="rId445" Type="http://schemas.openxmlformats.org/officeDocument/2006/relationships/oleObject" Target="embeddings/oleObject224.bin"/><Relationship Id="rId444" Type="http://schemas.openxmlformats.org/officeDocument/2006/relationships/image" Target="media/image208.wmf"/><Relationship Id="rId443" Type="http://schemas.openxmlformats.org/officeDocument/2006/relationships/oleObject" Target="embeddings/oleObject223.bin"/><Relationship Id="rId442" Type="http://schemas.openxmlformats.org/officeDocument/2006/relationships/image" Target="media/image207.wmf"/><Relationship Id="rId441" Type="http://schemas.openxmlformats.org/officeDocument/2006/relationships/oleObject" Target="embeddings/oleObject222.bin"/><Relationship Id="rId440" Type="http://schemas.openxmlformats.org/officeDocument/2006/relationships/image" Target="media/image206.wmf"/><Relationship Id="rId44" Type="http://schemas.openxmlformats.org/officeDocument/2006/relationships/image" Target="media/image16.wmf"/><Relationship Id="rId439" Type="http://schemas.openxmlformats.org/officeDocument/2006/relationships/oleObject" Target="embeddings/oleObject221.bin"/><Relationship Id="rId438" Type="http://schemas.openxmlformats.org/officeDocument/2006/relationships/image" Target="media/image205.wmf"/><Relationship Id="rId437" Type="http://schemas.openxmlformats.org/officeDocument/2006/relationships/oleObject" Target="embeddings/oleObject220.bin"/><Relationship Id="rId436" Type="http://schemas.openxmlformats.org/officeDocument/2006/relationships/image" Target="media/image204.emf"/><Relationship Id="rId435" Type="http://schemas.openxmlformats.org/officeDocument/2006/relationships/image" Target="media/image203.wmf"/><Relationship Id="rId434" Type="http://schemas.openxmlformats.org/officeDocument/2006/relationships/oleObject" Target="embeddings/oleObject219.bin"/><Relationship Id="rId433" Type="http://schemas.openxmlformats.org/officeDocument/2006/relationships/oleObject" Target="embeddings/oleObject218.bin"/><Relationship Id="rId432" Type="http://schemas.openxmlformats.org/officeDocument/2006/relationships/image" Target="media/image202.wmf"/><Relationship Id="rId431" Type="http://schemas.openxmlformats.org/officeDocument/2006/relationships/oleObject" Target="embeddings/oleObject217.bin"/><Relationship Id="rId430" Type="http://schemas.openxmlformats.org/officeDocument/2006/relationships/image" Target="media/image201.wmf"/><Relationship Id="rId43" Type="http://schemas.openxmlformats.org/officeDocument/2006/relationships/oleObject" Target="embeddings/oleObject15.bin"/><Relationship Id="rId429" Type="http://schemas.openxmlformats.org/officeDocument/2006/relationships/oleObject" Target="embeddings/oleObject216.bin"/><Relationship Id="rId428" Type="http://schemas.openxmlformats.org/officeDocument/2006/relationships/image" Target="media/image200.wmf"/><Relationship Id="rId427" Type="http://schemas.openxmlformats.org/officeDocument/2006/relationships/oleObject" Target="embeddings/oleObject215.bin"/><Relationship Id="rId426" Type="http://schemas.openxmlformats.org/officeDocument/2006/relationships/image" Target="media/image199.wmf"/><Relationship Id="rId425" Type="http://schemas.openxmlformats.org/officeDocument/2006/relationships/oleObject" Target="embeddings/oleObject214.bin"/><Relationship Id="rId424" Type="http://schemas.openxmlformats.org/officeDocument/2006/relationships/image" Target="media/image198.wmf"/><Relationship Id="rId423" Type="http://schemas.openxmlformats.org/officeDocument/2006/relationships/oleObject" Target="embeddings/oleObject213.bin"/><Relationship Id="rId422" Type="http://schemas.openxmlformats.org/officeDocument/2006/relationships/image" Target="media/image197.wmf"/><Relationship Id="rId421" Type="http://schemas.openxmlformats.org/officeDocument/2006/relationships/oleObject" Target="embeddings/oleObject212.bin"/><Relationship Id="rId420" Type="http://schemas.openxmlformats.org/officeDocument/2006/relationships/image" Target="media/image196.wmf"/><Relationship Id="rId42" Type="http://schemas.openxmlformats.org/officeDocument/2006/relationships/image" Target="media/image15.wmf"/><Relationship Id="rId419" Type="http://schemas.openxmlformats.org/officeDocument/2006/relationships/oleObject" Target="embeddings/oleObject211.bin"/><Relationship Id="rId418" Type="http://schemas.openxmlformats.org/officeDocument/2006/relationships/image" Target="media/image195.wmf"/><Relationship Id="rId417" Type="http://schemas.openxmlformats.org/officeDocument/2006/relationships/oleObject" Target="embeddings/oleObject210.bin"/><Relationship Id="rId416" Type="http://schemas.openxmlformats.org/officeDocument/2006/relationships/oleObject" Target="embeddings/oleObject209.bin"/><Relationship Id="rId415" Type="http://schemas.openxmlformats.org/officeDocument/2006/relationships/image" Target="media/image194.wmf"/><Relationship Id="rId414" Type="http://schemas.openxmlformats.org/officeDocument/2006/relationships/oleObject" Target="embeddings/oleObject208.bin"/><Relationship Id="rId413" Type="http://schemas.openxmlformats.org/officeDocument/2006/relationships/image" Target="media/image193.wmf"/><Relationship Id="rId412" Type="http://schemas.openxmlformats.org/officeDocument/2006/relationships/oleObject" Target="embeddings/oleObject207.bin"/><Relationship Id="rId411" Type="http://schemas.openxmlformats.org/officeDocument/2006/relationships/image" Target="media/image192.wmf"/><Relationship Id="rId410" Type="http://schemas.openxmlformats.org/officeDocument/2006/relationships/oleObject" Target="embeddings/oleObject206.bin"/><Relationship Id="rId41" Type="http://schemas.openxmlformats.org/officeDocument/2006/relationships/oleObject" Target="embeddings/oleObject14.bin"/><Relationship Id="rId409" Type="http://schemas.openxmlformats.org/officeDocument/2006/relationships/oleObject" Target="embeddings/oleObject205.bin"/><Relationship Id="rId408" Type="http://schemas.openxmlformats.org/officeDocument/2006/relationships/image" Target="media/image191.wmf"/><Relationship Id="rId407" Type="http://schemas.openxmlformats.org/officeDocument/2006/relationships/oleObject" Target="embeddings/oleObject204.bin"/><Relationship Id="rId406" Type="http://schemas.openxmlformats.org/officeDocument/2006/relationships/image" Target="media/image190.wmf"/><Relationship Id="rId405" Type="http://schemas.openxmlformats.org/officeDocument/2006/relationships/oleObject" Target="embeddings/oleObject203.bin"/><Relationship Id="rId404" Type="http://schemas.openxmlformats.org/officeDocument/2006/relationships/image" Target="media/image189.wmf"/><Relationship Id="rId403" Type="http://schemas.openxmlformats.org/officeDocument/2006/relationships/oleObject" Target="embeddings/oleObject202.bin"/><Relationship Id="rId402" Type="http://schemas.openxmlformats.org/officeDocument/2006/relationships/image" Target="media/image188.wmf"/><Relationship Id="rId401" Type="http://schemas.openxmlformats.org/officeDocument/2006/relationships/oleObject" Target="embeddings/oleObject201.bin"/><Relationship Id="rId400" Type="http://schemas.openxmlformats.org/officeDocument/2006/relationships/image" Target="media/image187.wmf"/><Relationship Id="rId40" Type="http://schemas.openxmlformats.org/officeDocument/2006/relationships/image" Target="media/image14.wmf"/><Relationship Id="rId4" Type="http://schemas.openxmlformats.org/officeDocument/2006/relationships/endnotes" Target="endnotes.xml"/><Relationship Id="rId399" Type="http://schemas.openxmlformats.org/officeDocument/2006/relationships/oleObject" Target="embeddings/oleObject200.bin"/><Relationship Id="rId398" Type="http://schemas.openxmlformats.org/officeDocument/2006/relationships/image" Target="media/image186.wmf"/><Relationship Id="rId397" Type="http://schemas.openxmlformats.org/officeDocument/2006/relationships/oleObject" Target="embeddings/oleObject199.bin"/><Relationship Id="rId396" Type="http://schemas.openxmlformats.org/officeDocument/2006/relationships/oleObject" Target="embeddings/oleObject198.bin"/><Relationship Id="rId395" Type="http://schemas.openxmlformats.org/officeDocument/2006/relationships/oleObject" Target="embeddings/oleObject197.bin"/><Relationship Id="rId394" Type="http://schemas.openxmlformats.org/officeDocument/2006/relationships/image" Target="media/image185.wmf"/><Relationship Id="rId393" Type="http://schemas.openxmlformats.org/officeDocument/2006/relationships/oleObject" Target="embeddings/oleObject196.bin"/><Relationship Id="rId392" Type="http://schemas.openxmlformats.org/officeDocument/2006/relationships/image" Target="media/image184.wmf"/><Relationship Id="rId391" Type="http://schemas.openxmlformats.org/officeDocument/2006/relationships/oleObject" Target="embeddings/oleObject195.bin"/><Relationship Id="rId390" Type="http://schemas.openxmlformats.org/officeDocument/2006/relationships/image" Target="media/image183.wmf"/><Relationship Id="rId39" Type="http://schemas.openxmlformats.org/officeDocument/2006/relationships/oleObject" Target="embeddings/oleObject13.bin"/><Relationship Id="rId389" Type="http://schemas.openxmlformats.org/officeDocument/2006/relationships/oleObject" Target="embeddings/oleObject194.bin"/><Relationship Id="rId388" Type="http://schemas.openxmlformats.org/officeDocument/2006/relationships/image" Target="media/image182.emf"/><Relationship Id="rId387" Type="http://schemas.openxmlformats.org/officeDocument/2006/relationships/image" Target="media/image181.wmf"/><Relationship Id="rId386" Type="http://schemas.openxmlformats.org/officeDocument/2006/relationships/oleObject" Target="embeddings/oleObject193.bin"/><Relationship Id="rId385" Type="http://schemas.openxmlformats.org/officeDocument/2006/relationships/oleObject" Target="embeddings/oleObject192.bin"/><Relationship Id="rId384" Type="http://schemas.openxmlformats.org/officeDocument/2006/relationships/image" Target="media/image180.wmf"/><Relationship Id="rId383" Type="http://schemas.openxmlformats.org/officeDocument/2006/relationships/oleObject" Target="embeddings/oleObject191.bin"/><Relationship Id="rId382" Type="http://schemas.openxmlformats.org/officeDocument/2006/relationships/image" Target="media/image179.wmf"/><Relationship Id="rId381" Type="http://schemas.openxmlformats.org/officeDocument/2006/relationships/oleObject" Target="embeddings/oleObject190.bin"/><Relationship Id="rId380" Type="http://schemas.openxmlformats.org/officeDocument/2006/relationships/image" Target="media/image178.wmf"/><Relationship Id="rId38" Type="http://schemas.openxmlformats.org/officeDocument/2006/relationships/image" Target="media/image13.wmf"/><Relationship Id="rId379" Type="http://schemas.openxmlformats.org/officeDocument/2006/relationships/oleObject" Target="embeddings/oleObject189.bin"/><Relationship Id="rId378" Type="http://schemas.openxmlformats.org/officeDocument/2006/relationships/image" Target="media/image177.wmf"/><Relationship Id="rId377" Type="http://schemas.openxmlformats.org/officeDocument/2006/relationships/oleObject" Target="embeddings/oleObject188.bin"/><Relationship Id="rId376" Type="http://schemas.openxmlformats.org/officeDocument/2006/relationships/image" Target="media/image176.wmf"/><Relationship Id="rId375" Type="http://schemas.openxmlformats.org/officeDocument/2006/relationships/oleObject" Target="embeddings/oleObject187.bin"/><Relationship Id="rId374" Type="http://schemas.openxmlformats.org/officeDocument/2006/relationships/image" Target="media/image175.wmf"/><Relationship Id="rId373" Type="http://schemas.openxmlformats.org/officeDocument/2006/relationships/oleObject" Target="embeddings/oleObject186.bin"/><Relationship Id="rId372" Type="http://schemas.openxmlformats.org/officeDocument/2006/relationships/image" Target="media/image174.wmf"/><Relationship Id="rId371" Type="http://schemas.openxmlformats.org/officeDocument/2006/relationships/oleObject" Target="embeddings/oleObject185.bin"/><Relationship Id="rId370" Type="http://schemas.openxmlformats.org/officeDocument/2006/relationships/image" Target="media/image173.wmf"/><Relationship Id="rId37" Type="http://schemas.openxmlformats.org/officeDocument/2006/relationships/oleObject" Target="embeddings/oleObject12.bin"/><Relationship Id="rId369" Type="http://schemas.openxmlformats.org/officeDocument/2006/relationships/oleObject" Target="embeddings/oleObject184.bin"/><Relationship Id="rId368" Type="http://schemas.openxmlformats.org/officeDocument/2006/relationships/image" Target="media/image172.png"/><Relationship Id="rId367" Type="http://schemas.openxmlformats.org/officeDocument/2006/relationships/image" Target="media/image171.wmf"/><Relationship Id="rId366" Type="http://schemas.openxmlformats.org/officeDocument/2006/relationships/oleObject" Target="embeddings/oleObject183.bin"/><Relationship Id="rId365" Type="http://schemas.openxmlformats.org/officeDocument/2006/relationships/oleObject" Target="embeddings/oleObject182.bin"/><Relationship Id="rId364" Type="http://schemas.openxmlformats.org/officeDocument/2006/relationships/image" Target="media/image170.wmf"/><Relationship Id="rId363" Type="http://schemas.openxmlformats.org/officeDocument/2006/relationships/oleObject" Target="embeddings/oleObject181.bin"/><Relationship Id="rId362" Type="http://schemas.openxmlformats.org/officeDocument/2006/relationships/image" Target="media/image169.wmf"/><Relationship Id="rId361" Type="http://schemas.openxmlformats.org/officeDocument/2006/relationships/oleObject" Target="embeddings/oleObject180.bin"/><Relationship Id="rId360" Type="http://schemas.openxmlformats.org/officeDocument/2006/relationships/image" Target="media/image168.wmf"/><Relationship Id="rId36" Type="http://schemas.openxmlformats.org/officeDocument/2006/relationships/image" Target="media/image12.wmf"/><Relationship Id="rId359" Type="http://schemas.openxmlformats.org/officeDocument/2006/relationships/oleObject" Target="embeddings/oleObject179.bin"/><Relationship Id="rId358" Type="http://schemas.openxmlformats.org/officeDocument/2006/relationships/oleObject" Target="embeddings/oleObject178.bin"/><Relationship Id="rId357" Type="http://schemas.openxmlformats.org/officeDocument/2006/relationships/oleObject" Target="embeddings/oleObject177.bin"/><Relationship Id="rId356" Type="http://schemas.openxmlformats.org/officeDocument/2006/relationships/image" Target="media/image167.wmf"/><Relationship Id="rId355" Type="http://schemas.openxmlformats.org/officeDocument/2006/relationships/oleObject" Target="embeddings/oleObject176.bin"/><Relationship Id="rId354" Type="http://schemas.openxmlformats.org/officeDocument/2006/relationships/oleObject" Target="embeddings/oleObject175.bin"/><Relationship Id="rId353" Type="http://schemas.openxmlformats.org/officeDocument/2006/relationships/image" Target="media/image166.wmf"/><Relationship Id="rId352" Type="http://schemas.openxmlformats.org/officeDocument/2006/relationships/oleObject" Target="embeddings/oleObject174.bin"/><Relationship Id="rId351" Type="http://schemas.openxmlformats.org/officeDocument/2006/relationships/image" Target="media/image165.wmf"/><Relationship Id="rId350" Type="http://schemas.openxmlformats.org/officeDocument/2006/relationships/oleObject" Target="embeddings/oleObject173.bin"/><Relationship Id="rId35" Type="http://schemas.openxmlformats.org/officeDocument/2006/relationships/oleObject" Target="embeddings/oleObject11.bin"/><Relationship Id="rId349" Type="http://schemas.openxmlformats.org/officeDocument/2006/relationships/image" Target="media/image164.wmf"/><Relationship Id="rId348" Type="http://schemas.openxmlformats.org/officeDocument/2006/relationships/oleObject" Target="embeddings/oleObject172.bin"/><Relationship Id="rId347" Type="http://schemas.openxmlformats.org/officeDocument/2006/relationships/image" Target="media/image163.wmf"/><Relationship Id="rId346" Type="http://schemas.openxmlformats.org/officeDocument/2006/relationships/oleObject" Target="embeddings/oleObject171.bin"/><Relationship Id="rId345" Type="http://schemas.openxmlformats.org/officeDocument/2006/relationships/image" Target="media/image162.wmf"/><Relationship Id="rId344" Type="http://schemas.openxmlformats.org/officeDocument/2006/relationships/oleObject" Target="embeddings/oleObject170.bin"/><Relationship Id="rId343" Type="http://schemas.openxmlformats.org/officeDocument/2006/relationships/image" Target="media/image161.wmf"/><Relationship Id="rId342" Type="http://schemas.openxmlformats.org/officeDocument/2006/relationships/oleObject" Target="embeddings/oleObject169.bin"/><Relationship Id="rId341" Type="http://schemas.openxmlformats.org/officeDocument/2006/relationships/image" Target="media/image160.wmf"/><Relationship Id="rId340" Type="http://schemas.openxmlformats.org/officeDocument/2006/relationships/oleObject" Target="embeddings/oleObject168.bin"/><Relationship Id="rId34" Type="http://schemas.openxmlformats.org/officeDocument/2006/relationships/image" Target="media/image11.wmf"/><Relationship Id="rId339" Type="http://schemas.openxmlformats.org/officeDocument/2006/relationships/image" Target="media/image159.wmf"/><Relationship Id="rId338" Type="http://schemas.openxmlformats.org/officeDocument/2006/relationships/oleObject" Target="embeddings/oleObject167.bin"/><Relationship Id="rId337" Type="http://schemas.openxmlformats.org/officeDocument/2006/relationships/image" Target="media/image158.wmf"/><Relationship Id="rId336" Type="http://schemas.openxmlformats.org/officeDocument/2006/relationships/oleObject" Target="embeddings/oleObject166.bin"/><Relationship Id="rId335" Type="http://schemas.openxmlformats.org/officeDocument/2006/relationships/image" Target="media/image157.wmf"/><Relationship Id="rId334" Type="http://schemas.openxmlformats.org/officeDocument/2006/relationships/oleObject" Target="embeddings/oleObject165.bin"/><Relationship Id="rId333" Type="http://schemas.openxmlformats.org/officeDocument/2006/relationships/image" Target="media/image156.wmf"/><Relationship Id="rId332" Type="http://schemas.openxmlformats.org/officeDocument/2006/relationships/oleObject" Target="embeddings/oleObject164.bin"/><Relationship Id="rId331" Type="http://schemas.openxmlformats.org/officeDocument/2006/relationships/image" Target="media/image155.wmf"/><Relationship Id="rId330" Type="http://schemas.openxmlformats.org/officeDocument/2006/relationships/oleObject" Target="embeddings/oleObject163.bin"/><Relationship Id="rId33" Type="http://schemas.openxmlformats.org/officeDocument/2006/relationships/oleObject" Target="embeddings/oleObject10.bin"/><Relationship Id="rId329" Type="http://schemas.openxmlformats.org/officeDocument/2006/relationships/image" Target="media/image154.wmf"/><Relationship Id="rId328" Type="http://schemas.openxmlformats.org/officeDocument/2006/relationships/oleObject" Target="embeddings/oleObject162.bin"/><Relationship Id="rId327" Type="http://schemas.openxmlformats.org/officeDocument/2006/relationships/image" Target="media/image153.wmf"/><Relationship Id="rId326" Type="http://schemas.openxmlformats.org/officeDocument/2006/relationships/oleObject" Target="embeddings/oleObject161.bin"/><Relationship Id="rId325" Type="http://schemas.openxmlformats.org/officeDocument/2006/relationships/image" Target="media/image152.wmf"/><Relationship Id="rId324" Type="http://schemas.openxmlformats.org/officeDocument/2006/relationships/oleObject" Target="embeddings/oleObject160.bin"/><Relationship Id="rId323" Type="http://schemas.openxmlformats.org/officeDocument/2006/relationships/oleObject" Target="embeddings/oleObject159.bin"/><Relationship Id="rId322" Type="http://schemas.openxmlformats.org/officeDocument/2006/relationships/image" Target="media/image151.wmf"/><Relationship Id="rId321" Type="http://schemas.openxmlformats.org/officeDocument/2006/relationships/oleObject" Target="embeddings/oleObject158.bin"/><Relationship Id="rId320" Type="http://schemas.openxmlformats.org/officeDocument/2006/relationships/image" Target="media/image150.wmf"/><Relationship Id="rId32" Type="http://schemas.openxmlformats.org/officeDocument/2006/relationships/image" Target="media/image10.wmf"/><Relationship Id="rId319" Type="http://schemas.openxmlformats.org/officeDocument/2006/relationships/oleObject" Target="embeddings/oleObject157.bin"/><Relationship Id="rId318" Type="http://schemas.openxmlformats.org/officeDocument/2006/relationships/image" Target="media/image149.wmf"/><Relationship Id="rId317" Type="http://schemas.openxmlformats.org/officeDocument/2006/relationships/oleObject" Target="embeddings/oleObject156.bin"/><Relationship Id="rId316" Type="http://schemas.openxmlformats.org/officeDocument/2006/relationships/oleObject" Target="embeddings/oleObject155.bin"/><Relationship Id="rId315" Type="http://schemas.openxmlformats.org/officeDocument/2006/relationships/oleObject" Target="embeddings/oleObject154.bin"/><Relationship Id="rId314" Type="http://schemas.openxmlformats.org/officeDocument/2006/relationships/oleObject" Target="embeddings/oleObject153.bin"/><Relationship Id="rId313" Type="http://schemas.openxmlformats.org/officeDocument/2006/relationships/oleObject" Target="embeddings/oleObject152.bin"/><Relationship Id="rId312" Type="http://schemas.openxmlformats.org/officeDocument/2006/relationships/image" Target="media/image148.wmf"/><Relationship Id="rId311" Type="http://schemas.openxmlformats.org/officeDocument/2006/relationships/oleObject" Target="embeddings/oleObject151.bin"/><Relationship Id="rId310" Type="http://schemas.openxmlformats.org/officeDocument/2006/relationships/image" Target="media/image147.wmf"/><Relationship Id="rId31" Type="http://schemas.openxmlformats.org/officeDocument/2006/relationships/oleObject" Target="embeddings/oleObject9.bin"/><Relationship Id="rId309" Type="http://schemas.openxmlformats.org/officeDocument/2006/relationships/oleObject" Target="embeddings/oleObject150.bin"/><Relationship Id="rId308" Type="http://schemas.openxmlformats.org/officeDocument/2006/relationships/image" Target="media/image146.wmf"/><Relationship Id="rId307" Type="http://schemas.openxmlformats.org/officeDocument/2006/relationships/oleObject" Target="embeddings/oleObject149.bin"/><Relationship Id="rId306" Type="http://schemas.openxmlformats.org/officeDocument/2006/relationships/image" Target="media/image145.wmf"/><Relationship Id="rId305" Type="http://schemas.openxmlformats.org/officeDocument/2006/relationships/oleObject" Target="embeddings/oleObject148.bin"/><Relationship Id="rId304" Type="http://schemas.openxmlformats.org/officeDocument/2006/relationships/oleObject" Target="embeddings/oleObject147.bin"/><Relationship Id="rId303" Type="http://schemas.openxmlformats.org/officeDocument/2006/relationships/oleObject" Target="embeddings/oleObject146.bin"/><Relationship Id="rId302" Type="http://schemas.openxmlformats.org/officeDocument/2006/relationships/oleObject" Target="embeddings/oleObject145.bin"/><Relationship Id="rId301" Type="http://schemas.openxmlformats.org/officeDocument/2006/relationships/image" Target="media/image144.wmf"/><Relationship Id="rId300" Type="http://schemas.openxmlformats.org/officeDocument/2006/relationships/oleObject" Target="embeddings/oleObject144.bin"/><Relationship Id="rId30" Type="http://schemas.openxmlformats.org/officeDocument/2006/relationships/image" Target="media/image9.wmf"/><Relationship Id="rId3" Type="http://schemas.openxmlformats.org/officeDocument/2006/relationships/footnotes" Target="footnotes.xml"/><Relationship Id="rId299" Type="http://schemas.openxmlformats.org/officeDocument/2006/relationships/image" Target="media/image143.wmf"/><Relationship Id="rId298" Type="http://schemas.openxmlformats.org/officeDocument/2006/relationships/oleObject" Target="embeddings/oleObject143.bin"/><Relationship Id="rId297" Type="http://schemas.openxmlformats.org/officeDocument/2006/relationships/image" Target="media/image142.wmf"/><Relationship Id="rId296" Type="http://schemas.openxmlformats.org/officeDocument/2006/relationships/oleObject" Target="embeddings/oleObject142.bin"/><Relationship Id="rId295" Type="http://schemas.openxmlformats.org/officeDocument/2006/relationships/oleObject" Target="embeddings/oleObject141.bin"/><Relationship Id="rId294" Type="http://schemas.openxmlformats.org/officeDocument/2006/relationships/image" Target="media/image141.wmf"/><Relationship Id="rId293" Type="http://schemas.openxmlformats.org/officeDocument/2006/relationships/oleObject" Target="embeddings/oleObject140.bin"/><Relationship Id="rId292" Type="http://schemas.openxmlformats.org/officeDocument/2006/relationships/image" Target="media/image140.wmf"/><Relationship Id="rId291" Type="http://schemas.openxmlformats.org/officeDocument/2006/relationships/oleObject" Target="embeddings/oleObject139.bin"/><Relationship Id="rId290" Type="http://schemas.openxmlformats.org/officeDocument/2006/relationships/image" Target="media/image139.wmf"/><Relationship Id="rId29" Type="http://schemas.openxmlformats.org/officeDocument/2006/relationships/oleObject" Target="embeddings/oleObject8.bin"/><Relationship Id="rId289" Type="http://schemas.openxmlformats.org/officeDocument/2006/relationships/oleObject" Target="embeddings/oleObject138.bin"/><Relationship Id="rId288" Type="http://schemas.openxmlformats.org/officeDocument/2006/relationships/image" Target="media/image138.wmf"/><Relationship Id="rId287" Type="http://schemas.openxmlformats.org/officeDocument/2006/relationships/oleObject" Target="embeddings/oleObject137.bin"/><Relationship Id="rId286" Type="http://schemas.openxmlformats.org/officeDocument/2006/relationships/image" Target="media/image137.wmf"/><Relationship Id="rId285" Type="http://schemas.openxmlformats.org/officeDocument/2006/relationships/oleObject" Target="embeddings/oleObject136.bin"/><Relationship Id="rId284" Type="http://schemas.openxmlformats.org/officeDocument/2006/relationships/image" Target="media/image136.emf"/><Relationship Id="rId283" Type="http://schemas.openxmlformats.org/officeDocument/2006/relationships/image" Target="media/image135.emf"/><Relationship Id="rId282" Type="http://schemas.openxmlformats.org/officeDocument/2006/relationships/image" Target="media/image134.emf"/><Relationship Id="rId281" Type="http://schemas.openxmlformats.org/officeDocument/2006/relationships/image" Target="media/image133.emf"/><Relationship Id="rId280" Type="http://schemas.openxmlformats.org/officeDocument/2006/relationships/image" Target="media/image132.emf"/><Relationship Id="rId28" Type="http://schemas.openxmlformats.org/officeDocument/2006/relationships/image" Target="media/image8.wmf"/><Relationship Id="rId279" Type="http://schemas.openxmlformats.org/officeDocument/2006/relationships/image" Target="media/image131.emf"/><Relationship Id="rId278" Type="http://schemas.openxmlformats.org/officeDocument/2006/relationships/image" Target="media/image130.wmf"/><Relationship Id="rId277" Type="http://schemas.openxmlformats.org/officeDocument/2006/relationships/oleObject" Target="embeddings/oleObject135.bin"/><Relationship Id="rId276" Type="http://schemas.openxmlformats.org/officeDocument/2006/relationships/image" Target="media/image129.wmf"/><Relationship Id="rId275" Type="http://schemas.openxmlformats.org/officeDocument/2006/relationships/oleObject" Target="embeddings/oleObject134.bin"/><Relationship Id="rId274" Type="http://schemas.openxmlformats.org/officeDocument/2006/relationships/image" Target="media/image128.wmf"/><Relationship Id="rId273" Type="http://schemas.openxmlformats.org/officeDocument/2006/relationships/oleObject" Target="embeddings/oleObject133.bin"/><Relationship Id="rId272" Type="http://schemas.openxmlformats.org/officeDocument/2006/relationships/image" Target="media/image127.wmf"/><Relationship Id="rId271" Type="http://schemas.openxmlformats.org/officeDocument/2006/relationships/oleObject" Target="embeddings/oleObject132.bin"/><Relationship Id="rId270" Type="http://schemas.openxmlformats.org/officeDocument/2006/relationships/image" Target="media/image126.wmf"/><Relationship Id="rId27" Type="http://schemas.openxmlformats.org/officeDocument/2006/relationships/image" Target="media/image7.wmf"/><Relationship Id="rId269" Type="http://schemas.openxmlformats.org/officeDocument/2006/relationships/oleObject" Target="embeddings/oleObject131.bin"/><Relationship Id="rId268" Type="http://schemas.openxmlformats.org/officeDocument/2006/relationships/image" Target="media/image125.wmf"/><Relationship Id="rId267" Type="http://schemas.openxmlformats.org/officeDocument/2006/relationships/oleObject" Target="embeddings/oleObject130.bin"/><Relationship Id="rId266" Type="http://schemas.openxmlformats.org/officeDocument/2006/relationships/image" Target="media/image124.wmf"/><Relationship Id="rId265" Type="http://schemas.openxmlformats.org/officeDocument/2006/relationships/oleObject" Target="embeddings/oleObject129.bin"/><Relationship Id="rId264" Type="http://schemas.openxmlformats.org/officeDocument/2006/relationships/image" Target="media/image123.wmf"/><Relationship Id="rId263" Type="http://schemas.openxmlformats.org/officeDocument/2006/relationships/oleObject" Target="embeddings/oleObject128.bin"/><Relationship Id="rId262" Type="http://schemas.openxmlformats.org/officeDocument/2006/relationships/image" Target="media/image122.wmf"/><Relationship Id="rId261" Type="http://schemas.openxmlformats.org/officeDocument/2006/relationships/oleObject" Target="embeddings/oleObject127.bin"/><Relationship Id="rId260" Type="http://schemas.openxmlformats.org/officeDocument/2006/relationships/image" Target="media/image121.wmf"/><Relationship Id="rId26" Type="http://schemas.openxmlformats.org/officeDocument/2006/relationships/oleObject" Target="embeddings/oleObject7.bin"/><Relationship Id="rId259" Type="http://schemas.openxmlformats.org/officeDocument/2006/relationships/oleObject" Target="embeddings/oleObject126.bin"/><Relationship Id="rId258" Type="http://schemas.openxmlformats.org/officeDocument/2006/relationships/image" Target="media/image120.wmf"/><Relationship Id="rId257" Type="http://schemas.openxmlformats.org/officeDocument/2006/relationships/oleObject" Target="embeddings/oleObject125.bin"/><Relationship Id="rId256" Type="http://schemas.openxmlformats.org/officeDocument/2006/relationships/image" Target="media/image119.wmf"/><Relationship Id="rId255" Type="http://schemas.openxmlformats.org/officeDocument/2006/relationships/oleObject" Target="embeddings/oleObject124.bin"/><Relationship Id="rId254" Type="http://schemas.openxmlformats.org/officeDocument/2006/relationships/image" Target="media/image118.wmf"/><Relationship Id="rId253" Type="http://schemas.openxmlformats.org/officeDocument/2006/relationships/oleObject" Target="embeddings/oleObject123.bin"/><Relationship Id="rId252" Type="http://schemas.openxmlformats.org/officeDocument/2006/relationships/image" Target="media/image117.wmf"/><Relationship Id="rId251" Type="http://schemas.openxmlformats.org/officeDocument/2006/relationships/oleObject" Target="embeddings/oleObject122.bin"/><Relationship Id="rId250" Type="http://schemas.openxmlformats.org/officeDocument/2006/relationships/image" Target="media/image116.wmf"/><Relationship Id="rId25" Type="http://schemas.openxmlformats.org/officeDocument/2006/relationships/image" Target="media/image6.wmf"/><Relationship Id="rId249" Type="http://schemas.openxmlformats.org/officeDocument/2006/relationships/oleObject" Target="embeddings/oleObject121.bin"/><Relationship Id="rId248" Type="http://schemas.openxmlformats.org/officeDocument/2006/relationships/image" Target="media/image115.wmf"/><Relationship Id="rId247" Type="http://schemas.openxmlformats.org/officeDocument/2006/relationships/oleObject" Target="embeddings/oleObject120.bin"/><Relationship Id="rId246" Type="http://schemas.openxmlformats.org/officeDocument/2006/relationships/image" Target="media/image114.wmf"/><Relationship Id="rId245" Type="http://schemas.openxmlformats.org/officeDocument/2006/relationships/oleObject" Target="embeddings/oleObject119.bin"/><Relationship Id="rId244" Type="http://schemas.openxmlformats.org/officeDocument/2006/relationships/image" Target="media/image113.wmf"/><Relationship Id="rId243" Type="http://schemas.openxmlformats.org/officeDocument/2006/relationships/oleObject" Target="embeddings/oleObject118.bin"/><Relationship Id="rId242" Type="http://schemas.openxmlformats.org/officeDocument/2006/relationships/image" Target="media/image112.wmf"/><Relationship Id="rId241" Type="http://schemas.openxmlformats.org/officeDocument/2006/relationships/oleObject" Target="embeddings/oleObject117.bin"/><Relationship Id="rId240" Type="http://schemas.openxmlformats.org/officeDocument/2006/relationships/image" Target="media/image111.wmf"/><Relationship Id="rId24" Type="http://schemas.openxmlformats.org/officeDocument/2006/relationships/oleObject" Target="embeddings/oleObject6.bin"/><Relationship Id="rId239" Type="http://schemas.openxmlformats.org/officeDocument/2006/relationships/oleObject" Target="embeddings/oleObject116.bin"/><Relationship Id="rId238" Type="http://schemas.openxmlformats.org/officeDocument/2006/relationships/image" Target="media/image110.wmf"/><Relationship Id="rId237" Type="http://schemas.openxmlformats.org/officeDocument/2006/relationships/oleObject" Target="embeddings/oleObject115.bin"/><Relationship Id="rId236" Type="http://schemas.openxmlformats.org/officeDocument/2006/relationships/image" Target="media/image109.wmf"/><Relationship Id="rId235" Type="http://schemas.openxmlformats.org/officeDocument/2006/relationships/oleObject" Target="embeddings/oleObject114.bin"/><Relationship Id="rId234" Type="http://schemas.openxmlformats.org/officeDocument/2006/relationships/image" Target="media/image108.wmf"/><Relationship Id="rId233" Type="http://schemas.openxmlformats.org/officeDocument/2006/relationships/oleObject" Target="embeddings/oleObject113.bin"/><Relationship Id="rId232" Type="http://schemas.openxmlformats.org/officeDocument/2006/relationships/image" Target="media/image107.wmf"/><Relationship Id="rId231" Type="http://schemas.openxmlformats.org/officeDocument/2006/relationships/oleObject" Target="embeddings/oleObject112.bin"/><Relationship Id="rId230" Type="http://schemas.openxmlformats.org/officeDocument/2006/relationships/image" Target="media/image106.wmf"/><Relationship Id="rId23" Type="http://schemas.openxmlformats.org/officeDocument/2006/relationships/image" Target="media/image5.wmf"/><Relationship Id="rId229" Type="http://schemas.openxmlformats.org/officeDocument/2006/relationships/oleObject" Target="embeddings/oleObject111.bin"/><Relationship Id="rId228" Type="http://schemas.openxmlformats.org/officeDocument/2006/relationships/image" Target="media/image105.wmf"/><Relationship Id="rId227" Type="http://schemas.openxmlformats.org/officeDocument/2006/relationships/oleObject" Target="embeddings/oleObject110.bin"/><Relationship Id="rId226" Type="http://schemas.openxmlformats.org/officeDocument/2006/relationships/image" Target="media/image104.wmf"/><Relationship Id="rId225" Type="http://schemas.openxmlformats.org/officeDocument/2006/relationships/oleObject" Target="embeddings/oleObject109.bin"/><Relationship Id="rId224" Type="http://schemas.openxmlformats.org/officeDocument/2006/relationships/image" Target="media/image103.wmf"/><Relationship Id="rId223" Type="http://schemas.openxmlformats.org/officeDocument/2006/relationships/oleObject" Target="embeddings/oleObject108.bin"/><Relationship Id="rId222" Type="http://schemas.openxmlformats.org/officeDocument/2006/relationships/oleObject" Target="embeddings/oleObject107.bin"/><Relationship Id="rId221" Type="http://schemas.openxmlformats.org/officeDocument/2006/relationships/image" Target="media/image102.wmf"/><Relationship Id="rId220" Type="http://schemas.openxmlformats.org/officeDocument/2006/relationships/oleObject" Target="embeddings/oleObject106.bin"/><Relationship Id="rId22" Type="http://schemas.openxmlformats.org/officeDocument/2006/relationships/oleObject" Target="embeddings/oleObject5.bin"/><Relationship Id="rId219" Type="http://schemas.openxmlformats.org/officeDocument/2006/relationships/image" Target="media/image101.wmf"/><Relationship Id="rId218" Type="http://schemas.openxmlformats.org/officeDocument/2006/relationships/oleObject" Target="embeddings/oleObject105.bin"/><Relationship Id="rId217" Type="http://schemas.openxmlformats.org/officeDocument/2006/relationships/image" Target="media/image100.wmf"/><Relationship Id="rId216" Type="http://schemas.openxmlformats.org/officeDocument/2006/relationships/oleObject" Target="embeddings/oleObject104.bin"/><Relationship Id="rId215" Type="http://schemas.openxmlformats.org/officeDocument/2006/relationships/image" Target="media/image99.wmf"/><Relationship Id="rId214" Type="http://schemas.openxmlformats.org/officeDocument/2006/relationships/oleObject" Target="embeddings/oleObject103.bin"/><Relationship Id="rId213" Type="http://schemas.openxmlformats.org/officeDocument/2006/relationships/image" Target="media/image98.wmf"/><Relationship Id="rId212" Type="http://schemas.openxmlformats.org/officeDocument/2006/relationships/oleObject" Target="embeddings/oleObject102.bin"/><Relationship Id="rId211" Type="http://schemas.openxmlformats.org/officeDocument/2006/relationships/image" Target="media/image97.wmf"/><Relationship Id="rId210" Type="http://schemas.openxmlformats.org/officeDocument/2006/relationships/oleObject" Target="embeddings/oleObject101.bin"/><Relationship Id="rId21" Type="http://schemas.openxmlformats.org/officeDocument/2006/relationships/image" Target="media/image4.wmf"/><Relationship Id="rId209" Type="http://schemas.openxmlformats.org/officeDocument/2006/relationships/image" Target="media/image96.wmf"/><Relationship Id="rId208" Type="http://schemas.openxmlformats.org/officeDocument/2006/relationships/oleObject" Target="embeddings/oleObject100.bin"/><Relationship Id="rId207" Type="http://schemas.openxmlformats.org/officeDocument/2006/relationships/image" Target="media/image95.wmf"/><Relationship Id="rId206" Type="http://schemas.openxmlformats.org/officeDocument/2006/relationships/oleObject" Target="embeddings/oleObject99.bin"/><Relationship Id="rId205" Type="http://schemas.openxmlformats.org/officeDocument/2006/relationships/image" Target="media/image94.wmf"/><Relationship Id="rId204" Type="http://schemas.openxmlformats.org/officeDocument/2006/relationships/oleObject" Target="embeddings/oleObject98.bin"/><Relationship Id="rId203" Type="http://schemas.openxmlformats.org/officeDocument/2006/relationships/image" Target="media/image93.wmf"/><Relationship Id="rId202" Type="http://schemas.openxmlformats.org/officeDocument/2006/relationships/oleObject" Target="embeddings/oleObject97.bin"/><Relationship Id="rId201" Type="http://schemas.openxmlformats.org/officeDocument/2006/relationships/image" Target="media/image92.wmf"/><Relationship Id="rId200" Type="http://schemas.openxmlformats.org/officeDocument/2006/relationships/oleObject" Target="embeddings/oleObject96.bin"/><Relationship Id="rId20" Type="http://schemas.openxmlformats.org/officeDocument/2006/relationships/oleObject" Target="embeddings/oleObject4.bin"/><Relationship Id="rId2" Type="http://schemas.openxmlformats.org/officeDocument/2006/relationships/settings" Target="settings.xml"/><Relationship Id="rId199" Type="http://schemas.openxmlformats.org/officeDocument/2006/relationships/image" Target="media/image91.wmf"/><Relationship Id="rId198" Type="http://schemas.openxmlformats.org/officeDocument/2006/relationships/oleObject" Target="embeddings/oleObject95.bin"/><Relationship Id="rId197" Type="http://schemas.openxmlformats.org/officeDocument/2006/relationships/image" Target="media/image90.wmf"/><Relationship Id="rId196" Type="http://schemas.openxmlformats.org/officeDocument/2006/relationships/oleObject" Target="embeddings/oleObject94.bin"/><Relationship Id="rId195" Type="http://schemas.openxmlformats.org/officeDocument/2006/relationships/image" Target="media/image89.wmf"/><Relationship Id="rId194" Type="http://schemas.openxmlformats.org/officeDocument/2006/relationships/oleObject" Target="embeddings/oleObject93.bin"/><Relationship Id="rId193" Type="http://schemas.openxmlformats.org/officeDocument/2006/relationships/oleObject" Target="embeddings/oleObject92.bin"/><Relationship Id="rId192" Type="http://schemas.openxmlformats.org/officeDocument/2006/relationships/image" Target="media/image88.wmf"/><Relationship Id="rId191" Type="http://schemas.openxmlformats.org/officeDocument/2006/relationships/oleObject" Target="embeddings/oleObject91.bin"/><Relationship Id="rId190" Type="http://schemas.openxmlformats.org/officeDocument/2006/relationships/oleObject" Target="embeddings/oleObject90.bin"/><Relationship Id="rId19" Type="http://schemas.openxmlformats.org/officeDocument/2006/relationships/image" Target="media/image3.wmf"/><Relationship Id="rId189" Type="http://schemas.openxmlformats.org/officeDocument/2006/relationships/image" Target="media/image87.wmf"/><Relationship Id="rId188" Type="http://schemas.openxmlformats.org/officeDocument/2006/relationships/oleObject" Target="embeddings/oleObject89.bin"/><Relationship Id="rId187" Type="http://schemas.openxmlformats.org/officeDocument/2006/relationships/image" Target="media/image86.wmf"/><Relationship Id="rId186" Type="http://schemas.openxmlformats.org/officeDocument/2006/relationships/oleObject" Target="embeddings/oleObject88.bin"/><Relationship Id="rId185" Type="http://schemas.openxmlformats.org/officeDocument/2006/relationships/image" Target="media/image85.wmf"/><Relationship Id="rId184" Type="http://schemas.openxmlformats.org/officeDocument/2006/relationships/oleObject" Target="embeddings/oleObject87.bin"/><Relationship Id="rId183" Type="http://schemas.openxmlformats.org/officeDocument/2006/relationships/image" Target="media/image84.wmf"/><Relationship Id="rId182" Type="http://schemas.openxmlformats.org/officeDocument/2006/relationships/oleObject" Target="embeddings/oleObject86.bin"/><Relationship Id="rId181" Type="http://schemas.openxmlformats.org/officeDocument/2006/relationships/image" Target="media/image83.wmf"/><Relationship Id="rId180" Type="http://schemas.openxmlformats.org/officeDocument/2006/relationships/oleObject" Target="embeddings/oleObject85.bin"/><Relationship Id="rId18" Type="http://schemas.openxmlformats.org/officeDocument/2006/relationships/oleObject" Target="embeddings/oleObject3.bin"/><Relationship Id="rId179" Type="http://schemas.openxmlformats.org/officeDocument/2006/relationships/image" Target="media/image82.wmf"/><Relationship Id="rId178" Type="http://schemas.openxmlformats.org/officeDocument/2006/relationships/oleObject" Target="embeddings/oleObject84.bin"/><Relationship Id="rId177" Type="http://schemas.openxmlformats.org/officeDocument/2006/relationships/image" Target="media/image81.wmf"/><Relationship Id="rId176" Type="http://schemas.openxmlformats.org/officeDocument/2006/relationships/oleObject" Target="embeddings/oleObject83.bin"/><Relationship Id="rId175" Type="http://schemas.openxmlformats.org/officeDocument/2006/relationships/image" Target="media/image80.wmf"/><Relationship Id="rId174" Type="http://schemas.openxmlformats.org/officeDocument/2006/relationships/oleObject" Target="embeddings/oleObject82.bin"/><Relationship Id="rId173" Type="http://schemas.openxmlformats.org/officeDocument/2006/relationships/image" Target="media/image79.wmf"/><Relationship Id="rId172" Type="http://schemas.openxmlformats.org/officeDocument/2006/relationships/oleObject" Target="embeddings/oleObject81.bin"/><Relationship Id="rId171" Type="http://schemas.openxmlformats.org/officeDocument/2006/relationships/image" Target="media/image78.wmf"/><Relationship Id="rId170" Type="http://schemas.openxmlformats.org/officeDocument/2006/relationships/oleObject" Target="embeddings/oleObject80.bin"/><Relationship Id="rId17" Type="http://schemas.openxmlformats.org/officeDocument/2006/relationships/image" Target="media/image2.wmf"/><Relationship Id="rId169" Type="http://schemas.openxmlformats.org/officeDocument/2006/relationships/image" Target="media/image77.wmf"/><Relationship Id="rId168" Type="http://schemas.openxmlformats.org/officeDocument/2006/relationships/oleObject" Target="embeddings/oleObject79.bin"/><Relationship Id="rId167" Type="http://schemas.openxmlformats.org/officeDocument/2006/relationships/image" Target="media/image76.wmf"/><Relationship Id="rId166" Type="http://schemas.openxmlformats.org/officeDocument/2006/relationships/oleObject" Target="embeddings/oleObject78.bin"/><Relationship Id="rId165" Type="http://schemas.openxmlformats.org/officeDocument/2006/relationships/oleObject" Target="embeddings/oleObject77.bin"/><Relationship Id="rId164" Type="http://schemas.openxmlformats.org/officeDocument/2006/relationships/image" Target="media/image75.wmf"/><Relationship Id="rId163" Type="http://schemas.openxmlformats.org/officeDocument/2006/relationships/oleObject" Target="embeddings/oleObject76.bin"/><Relationship Id="rId162" Type="http://schemas.openxmlformats.org/officeDocument/2006/relationships/image" Target="media/image74.wmf"/><Relationship Id="rId161" Type="http://schemas.openxmlformats.org/officeDocument/2006/relationships/oleObject" Target="embeddings/oleObject75.bin"/><Relationship Id="rId160" Type="http://schemas.openxmlformats.org/officeDocument/2006/relationships/image" Target="media/image73.wmf"/><Relationship Id="rId16" Type="http://schemas.openxmlformats.org/officeDocument/2006/relationships/oleObject" Target="embeddings/oleObject2.bin"/><Relationship Id="rId159" Type="http://schemas.openxmlformats.org/officeDocument/2006/relationships/oleObject" Target="embeddings/oleObject74.bin"/><Relationship Id="rId158" Type="http://schemas.openxmlformats.org/officeDocument/2006/relationships/image" Target="media/image72.wmf"/><Relationship Id="rId157" Type="http://schemas.openxmlformats.org/officeDocument/2006/relationships/oleObject" Target="embeddings/oleObject73.bin"/><Relationship Id="rId156" Type="http://schemas.openxmlformats.org/officeDocument/2006/relationships/oleObject" Target="embeddings/oleObject72.bin"/><Relationship Id="rId155" Type="http://schemas.openxmlformats.org/officeDocument/2006/relationships/image" Target="media/image71.wmf"/><Relationship Id="rId154" Type="http://schemas.openxmlformats.org/officeDocument/2006/relationships/oleObject" Target="embeddings/oleObject71.bin"/><Relationship Id="rId153" Type="http://schemas.openxmlformats.org/officeDocument/2006/relationships/image" Target="media/image70.wmf"/><Relationship Id="rId152" Type="http://schemas.openxmlformats.org/officeDocument/2006/relationships/oleObject" Target="embeddings/oleObject70.bin"/><Relationship Id="rId151" Type="http://schemas.openxmlformats.org/officeDocument/2006/relationships/image" Target="media/image69.wmf"/><Relationship Id="rId150" Type="http://schemas.openxmlformats.org/officeDocument/2006/relationships/oleObject" Target="embeddings/oleObject69.bin"/><Relationship Id="rId15" Type="http://schemas.openxmlformats.org/officeDocument/2006/relationships/image" Target="media/image1.wmf"/><Relationship Id="rId149" Type="http://schemas.openxmlformats.org/officeDocument/2006/relationships/image" Target="media/image68.wmf"/><Relationship Id="rId148" Type="http://schemas.openxmlformats.org/officeDocument/2006/relationships/oleObject" Target="embeddings/oleObject68.bin"/><Relationship Id="rId147" Type="http://schemas.openxmlformats.org/officeDocument/2006/relationships/image" Target="media/image67.wmf"/><Relationship Id="rId146" Type="http://schemas.openxmlformats.org/officeDocument/2006/relationships/oleObject" Target="embeddings/oleObject67.bin"/><Relationship Id="rId145" Type="http://schemas.openxmlformats.org/officeDocument/2006/relationships/image" Target="media/image66.wmf"/><Relationship Id="rId144" Type="http://schemas.openxmlformats.org/officeDocument/2006/relationships/oleObject" Target="embeddings/oleObject66.bin"/><Relationship Id="rId143" Type="http://schemas.openxmlformats.org/officeDocument/2006/relationships/image" Target="media/image65.wmf"/><Relationship Id="rId142" Type="http://schemas.openxmlformats.org/officeDocument/2006/relationships/oleObject" Target="embeddings/oleObject65.bin"/><Relationship Id="rId141" Type="http://schemas.openxmlformats.org/officeDocument/2006/relationships/image" Target="media/image64.wmf"/><Relationship Id="rId140" Type="http://schemas.openxmlformats.org/officeDocument/2006/relationships/oleObject" Target="embeddings/oleObject64.bin"/><Relationship Id="rId14" Type="http://schemas.openxmlformats.org/officeDocument/2006/relationships/oleObject" Target="embeddings/oleObject1.bin"/><Relationship Id="rId139" Type="http://schemas.openxmlformats.org/officeDocument/2006/relationships/image" Target="media/image63.wmf"/><Relationship Id="rId138" Type="http://schemas.openxmlformats.org/officeDocument/2006/relationships/oleObject" Target="embeddings/oleObject63.bin"/><Relationship Id="rId137" Type="http://schemas.openxmlformats.org/officeDocument/2006/relationships/image" Target="media/image62.wmf"/><Relationship Id="rId136" Type="http://schemas.openxmlformats.org/officeDocument/2006/relationships/oleObject" Target="embeddings/oleObject62.bin"/><Relationship Id="rId135" Type="http://schemas.openxmlformats.org/officeDocument/2006/relationships/image" Target="media/image61.wmf"/><Relationship Id="rId134" Type="http://schemas.openxmlformats.org/officeDocument/2006/relationships/oleObject" Target="embeddings/oleObject61.bin"/><Relationship Id="rId133" Type="http://schemas.openxmlformats.org/officeDocument/2006/relationships/image" Target="media/image60.wmf"/><Relationship Id="rId132" Type="http://schemas.openxmlformats.org/officeDocument/2006/relationships/oleObject" Target="embeddings/oleObject60.bin"/><Relationship Id="rId131" Type="http://schemas.openxmlformats.org/officeDocument/2006/relationships/image" Target="media/image59.wmf"/><Relationship Id="rId130" Type="http://schemas.openxmlformats.org/officeDocument/2006/relationships/oleObject" Target="embeddings/oleObject59.bin"/><Relationship Id="rId13" Type="http://schemas.openxmlformats.org/officeDocument/2006/relationships/theme" Target="theme/theme1.xml"/><Relationship Id="rId129" Type="http://schemas.openxmlformats.org/officeDocument/2006/relationships/image" Target="media/image58.wmf"/><Relationship Id="rId128" Type="http://schemas.openxmlformats.org/officeDocument/2006/relationships/oleObject" Target="embeddings/oleObject58.bin"/><Relationship Id="rId127" Type="http://schemas.openxmlformats.org/officeDocument/2006/relationships/image" Target="media/image57.png"/><Relationship Id="rId126" Type="http://schemas.openxmlformats.org/officeDocument/2006/relationships/oleObject" Target="embeddings/oleObject57.bin"/><Relationship Id="rId125" Type="http://schemas.openxmlformats.org/officeDocument/2006/relationships/image" Target="media/image56.wmf"/><Relationship Id="rId124" Type="http://schemas.openxmlformats.org/officeDocument/2006/relationships/oleObject" Target="embeddings/oleObject56.bin"/><Relationship Id="rId123" Type="http://schemas.openxmlformats.org/officeDocument/2006/relationships/oleObject" Target="embeddings/oleObject55.bin"/><Relationship Id="rId122" Type="http://schemas.openxmlformats.org/officeDocument/2006/relationships/image" Target="media/image55.wmf"/><Relationship Id="rId121" Type="http://schemas.openxmlformats.org/officeDocument/2006/relationships/oleObject" Target="embeddings/oleObject54.bin"/><Relationship Id="rId120" Type="http://schemas.openxmlformats.org/officeDocument/2006/relationships/image" Target="media/image54.wmf"/><Relationship Id="rId12" Type="http://schemas.openxmlformats.org/officeDocument/2006/relationships/footer" Target="footer5.xml"/><Relationship Id="rId119" Type="http://schemas.openxmlformats.org/officeDocument/2006/relationships/oleObject" Target="embeddings/oleObject53.bin"/><Relationship Id="rId118" Type="http://schemas.openxmlformats.org/officeDocument/2006/relationships/image" Target="media/image53.wmf"/><Relationship Id="rId117" Type="http://schemas.openxmlformats.org/officeDocument/2006/relationships/oleObject" Target="embeddings/oleObject52.bin"/><Relationship Id="rId116" Type="http://schemas.openxmlformats.org/officeDocument/2006/relationships/image" Target="media/image52.wmf"/><Relationship Id="rId115" Type="http://schemas.openxmlformats.org/officeDocument/2006/relationships/oleObject" Target="embeddings/oleObject51.bin"/><Relationship Id="rId114" Type="http://schemas.openxmlformats.org/officeDocument/2006/relationships/image" Target="media/image51.wmf"/><Relationship Id="rId113" Type="http://schemas.openxmlformats.org/officeDocument/2006/relationships/oleObject" Target="embeddings/oleObject50.bin"/><Relationship Id="rId112" Type="http://schemas.openxmlformats.org/officeDocument/2006/relationships/image" Target="media/image50.wmf"/><Relationship Id="rId111" Type="http://schemas.openxmlformats.org/officeDocument/2006/relationships/oleObject" Target="embeddings/oleObject49.bin"/><Relationship Id="rId110" Type="http://schemas.openxmlformats.org/officeDocument/2006/relationships/image" Target="media/image49.wmf"/><Relationship Id="rId11" Type="http://schemas.openxmlformats.org/officeDocument/2006/relationships/footer" Target="footer4.xml"/><Relationship Id="rId109" Type="http://schemas.openxmlformats.org/officeDocument/2006/relationships/oleObject" Target="embeddings/oleObject48.bin"/><Relationship Id="rId108" Type="http://schemas.openxmlformats.org/officeDocument/2006/relationships/image" Target="media/image48.wmf"/><Relationship Id="rId107" Type="http://schemas.openxmlformats.org/officeDocument/2006/relationships/oleObject" Target="embeddings/oleObject47.bin"/><Relationship Id="rId106" Type="http://schemas.openxmlformats.org/officeDocument/2006/relationships/image" Target="media/image47.wmf"/><Relationship Id="rId105" Type="http://schemas.openxmlformats.org/officeDocument/2006/relationships/oleObject" Target="embeddings/oleObject46.bin"/><Relationship Id="rId104" Type="http://schemas.openxmlformats.org/officeDocument/2006/relationships/oleObject" Target="embeddings/oleObject45.bin"/><Relationship Id="rId103" Type="http://schemas.openxmlformats.org/officeDocument/2006/relationships/image" Target="media/image46.wmf"/><Relationship Id="rId102" Type="http://schemas.openxmlformats.org/officeDocument/2006/relationships/oleObject" Target="embeddings/oleObject44.bin"/><Relationship Id="rId101" Type="http://schemas.openxmlformats.org/officeDocument/2006/relationships/image" Target="media/image45.wmf"/><Relationship Id="rId100" Type="http://schemas.openxmlformats.org/officeDocument/2006/relationships/oleObject" Target="embeddings/oleObject43.bin"/><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extobjs>
    <extobj name="ECB019B1-382A-4266-B25C-5B523AA43C14-1">
      <extobjdata type="ECB019B1-382A-4266-B25C-5B523AA43C14" data="ewoJIkZpbGVJZCIgOiAiMjI3NDc3OTE0MzczIiwKCSJHcm91cElkIiA6ICI0Njk0NjQ0NzIiLAoJIkltYWdlIiA6ICJpVkJPUncwS0dnb0FBQUFOU1VoRVVnQUFBWVlBQUFGUENBWUFBQUJKWjJtWkFBQUFDWEJJV1hNQUFBc1RBQUFMRXdFQW1wd1lBQUFnQUVsRVFWUjRuT3pkZVZ3VTlmOEg4TmZzc3R3aUlJb1hlT1dKYVN3ZW1acGFXcGI0MDBvUjhiNFdMUStLeWp0TE5LODhza3dGTDhLN1BQUHJmV2FTUjRCY0NpSXFsNEpjY2kzc05aL2ZIOGpFc0F1Q21VdndmajRlUHR6NXpHZG0zcnZNem52bTgvbk1MRUF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"/>
    </extobj>
    <extobj name="ECB019B1-382A-4266-B25C-5B523AA43C14-2">
      <extobjdata type="ECB019B1-382A-4266-B25C-5B523AA43C14" data="ewoJIkZpbGVJZCIgOiAiMjI3NDc3OTE0MzczIiwKCSJHcm91cElkIiA6ICI0Njk0NjQ0NzIiLAoJIkltYWdlIiA6ICJpVkJPUncwS0dnb0FBQUFOU1VoRVVnQUFBWVlBQUFGUENBWUFBQUJKWjJtWkFBQUFDWEJJV1hNQUFBc1RBQUFMRXdFQW1wd1lBQUFnQUVsRVFWUjRuT3pkZVZ3VTlmOEg4TmZzc3R3aUlJb1hlT1dKYVN3ZW1acGFXcGI0MDBvUjhiNFdMUStLeWp0TE5LODhza3dGTDhLN1BQUHJmV2FTUjRCY0NpSXFsNEpjY2kzc05aL2ZIOGpFc0F1Q21VdndmajRlUHR6NXpHZG0zcnZNem52bTgvbk1MRUF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"/>
    </extobj>
  </extobj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9A02F0-5880-4E62-9396-EF253DE2E46B}">
  <ds:schemaRefs/>
</ds:datastoreItem>
</file>

<file path=docProps/app.xml><?xml version="1.0" encoding="utf-8"?>
<Properties xmlns="http://schemas.openxmlformats.org/officeDocument/2006/extended-properties" xmlns:vt="http://schemas.openxmlformats.org/officeDocument/2006/docPropsVTypes">
  <Template>Normal.dotm</Template>
  <Company>Organization</Company>
  <Pages>86</Pages>
  <Words>4639</Words>
  <Characters>5728</Characters>
  <Lines>2210</Lines>
  <Paragraphs>1852</Paragraphs>
  <TotalTime>0</TotalTime>
  <ScaleCrop>false</ScaleCrop>
  <LinksUpToDate>false</LinksUpToDate>
  <CharactersWithSpaces>6129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2023-10-24T06:37:00Z</dcterms:created>
  <dc:creator>guoli</dc:creator>
  <cp:lastModifiedBy>张圈圈</cp:lastModifiedBy>
  <cp:lastPrinted>2023-10-16T01:11:00Z</cp:lastPrinted>
  <dcterms:modified xsi:type="dcterms:W3CDTF">2025-09-11T03:01:31Z</dcterms:modified>
  <cp:revision>200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7C0063DF6626470AB542C5907AC2057E_13</vt:lpwstr>
  </property>
  <property fmtid="{D5CDD505-2E9C-101B-9397-08002B2CF9AE}" pid="4" name="KSOTemplateDocerSaveRecord">
    <vt:lpwstr>eyJoZGlkIjoiMDZhNjA0N2Q2NzdkOWMzNzkxMzM2ODRkY2NlODZlNjUiLCJ1c2VySWQiOiIzOTkyMDQ4MDEifQ==</vt:lpwstr>
  </property>
</Properties>
</file>