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B22D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color w:val="auto"/>
          <w:sz w:val="44"/>
          <w:szCs w:val="44"/>
          <w:highlight w:val="none"/>
          <w:u w:val="none"/>
          <w:lang w:eastAsia="zh-CN" w:bidi="bo-CN"/>
        </w:rPr>
        <w:t>西藏</w:t>
      </w:r>
      <w:r>
        <w:rPr>
          <w:rFonts w:hint="eastAsia" w:ascii="方正小标宋简体" w:hAnsi="方正小标宋简体" w:eastAsia="方正小标宋简体" w:cs="方正小标宋简体"/>
          <w:color w:val="auto"/>
          <w:sz w:val="44"/>
          <w:szCs w:val="44"/>
          <w:highlight w:val="none"/>
          <w:u w:val="none"/>
          <w:lang w:val="en-US" w:eastAsia="zh-CN" w:bidi="bo-CN"/>
        </w:rPr>
        <w:t>自治区</w:t>
      </w:r>
      <w:r>
        <w:rPr>
          <w:rFonts w:hint="eastAsia" w:ascii="方正小标宋简体" w:hAnsi="方正小标宋简体" w:eastAsia="方正小标宋简体" w:cs="方正小标宋简体"/>
          <w:color w:val="auto"/>
          <w:sz w:val="44"/>
          <w:szCs w:val="44"/>
          <w:highlight w:val="none"/>
          <w:u w:val="none"/>
          <w:lang w:eastAsia="zh-CN" w:bidi="bo-CN"/>
        </w:rPr>
        <w:t>房屋建筑和市政基础设施工程</w:t>
      </w:r>
      <w:r>
        <w:rPr>
          <w:rFonts w:hint="eastAsia" w:ascii="方正小标宋简体" w:hAnsi="方正小标宋简体" w:eastAsia="方正小标宋简体" w:cs="方正小标宋简体"/>
          <w:color w:val="auto"/>
          <w:sz w:val="44"/>
          <w:szCs w:val="44"/>
          <w:highlight w:val="none"/>
          <w:u w:val="none"/>
          <w:lang w:val="en-US" w:eastAsia="zh-CN" w:bidi="bo-CN"/>
        </w:rPr>
        <w:t>领域推行</w:t>
      </w:r>
      <w:r>
        <w:rPr>
          <w:rFonts w:hint="eastAsia" w:ascii="方正小标宋简体" w:hAnsi="方正小标宋简体" w:eastAsia="方正小标宋简体" w:cs="方正小标宋简体"/>
          <w:color w:val="auto"/>
          <w:sz w:val="44"/>
          <w:szCs w:val="44"/>
          <w:highlight w:val="none"/>
          <w:u w:val="none"/>
          <w:lang w:eastAsia="zh-CN" w:bidi="bo-CN"/>
        </w:rPr>
        <w:t>项目建设资金共管指导意见</w:t>
      </w:r>
    </w:p>
    <w:p w14:paraId="25B4D67F">
      <w:pPr>
        <w:keepNext w:val="0"/>
        <w:keepLines w:val="0"/>
        <w:pageBreakBefore w:val="0"/>
        <w:widowControl w:val="0"/>
        <w:kinsoku/>
        <w:wordWrap/>
        <w:overflowPunct/>
        <w:topLinePunct w:val="0"/>
        <w:autoSpaceDE/>
        <w:autoSpaceDN/>
        <w:bidi w:val="0"/>
        <w:adjustRightInd/>
        <w:snapToGrid/>
        <w:spacing w:line="576" w:lineRule="exact"/>
        <w:ind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14:paraId="38237A8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关于防范化解重大风险、保障和改善民生、优化营商环境的决策部署，进一步规范全区房屋建筑和市政基础设施工程（以下简称“工程项目”）建设资金管理，有效防范资金被挪用、拖欠、转移等风险，切实保障工程质量和施工进度，维护工程建设各方主体的合法权益，促进建筑业持续健康发展，依据《中华人民共和国民法典》《中华人民共和国建筑法》《中华人民共和国招标投标法》《保障农民工工资支付条例》《建设工程价款结算暂行办法》等法律法规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西藏自治区房屋建筑和市政基础设施工程施工招标投标管理办法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（藏政办发〔2025〕8号）规定，结合我区实际，</w:t>
      </w:r>
      <w:r>
        <w:rPr>
          <w:rFonts w:hint="eastAsia" w:ascii="仿宋_GB2312" w:hAnsi="仿宋_GB2312" w:eastAsia="仿宋_GB2312" w:cs="仿宋_GB2312"/>
          <w:sz w:val="32"/>
          <w:szCs w:val="32"/>
          <w:lang w:eastAsia="zh-CN"/>
        </w:rPr>
        <w:t>特制定本</w:t>
      </w:r>
      <w:r>
        <w:rPr>
          <w:rFonts w:hint="eastAsia" w:ascii="仿宋_GB2312" w:hAnsi="仿宋_GB2312" w:eastAsia="仿宋_GB2312" w:cs="仿宋_GB2312"/>
          <w:sz w:val="32"/>
          <w:szCs w:val="32"/>
        </w:rPr>
        <w:t>指导意见。</w:t>
      </w:r>
    </w:p>
    <w:p w14:paraId="2D78F20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一、总体要求</w:t>
      </w:r>
    </w:p>
    <w:p w14:paraId="4D858A9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及历次全会精神，牢固树立新发展理念，以保障政府投资和国有资金工程项目稳健运行为重点，通过建立科学、规范、透明的项目建设资金共管机制，强化项目建设全过程资金监管，压实各方主体责任，提升资金使用效益和工程建设质效，有效防范化解工程款支付风险，营造公平、诚信、安全的建筑市场环境，为自治区</w:t>
      </w:r>
      <w:r>
        <w:rPr>
          <w:rFonts w:hint="eastAsia" w:ascii="仿宋_GB2312" w:hAnsi="仿宋_GB2312" w:eastAsia="仿宋_GB2312" w:cs="仿宋_GB2312"/>
          <w:sz w:val="32"/>
          <w:szCs w:val="32"/>
          <w:lang w:val="en-US" w:eastAsia="zh-CN"/>
        </w:rPr>
        <w:t>建筑业</w:t>
      </w:r>
      <w:r>
        <w:rPr>
          <w:rFonts w:hint="eastAsia" w:ascii="仿宋_GB2312" w:hAnsi="仿宋_GB2312" w:eastAsia="仿宋_GB2312" w:cs="仿宋_GB2312"/>
          <w:sz w:val="32"/>
          <w:szCs w:val="32"/>
        </w:rPr>
        <w:t>高质量发展提供坚实保障。</w:t>
      </w:r>
    </w:p>
    <w:p w14:paraId="17A13B4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基本原则</w:t>
      </w:r>
    </w:p>
    <w:p w14:paraId="5D10D88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协议先行，权责清晰。</w:t>
      </w:r>
      <w:r>
        <w:rPr>
          <w:rFonts w:hint="eastAsia" w:ascii="仿宋_GB2312" w:hAnsi="仿宋_GB2312" w:eastAsia="仿宋_GB2312" w:cs="仿宋_GB2312"/>
          <w:sz w:val="32"/>
          <w:szCs w:val="32"/>
        </w:rPr>
        <w:t>建设单位和施工单位</w:t>
      </w:r>
      <w:bookmarkStart w:id="1" w:name="_GoBack"/>
      <w:bookmarkEnd w:id="1"/>
      <w:r>
        <w:rPr>
          <w:rFonts w:hint="eastAsia" w:ascii="仿宋_GB2312" w:hAnsi="仿宋_GB2312" w:eastAsia="仿宋_GB2312" w:cs="仿宋_GB2312"/>
          <w:sz w:val="32"/>
          <w:szCs w:val="32"/>
        </w:rPr>
        <w:t>在依法签订施工合同时，</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同步签订具有法律约束力的《工程项目建设资金共管协议》（以下简称《共管协议》），明确约定各方在资金缴存、使用、审核、支付、监督等环节的具体权利、责任和义务，确保资金管理有据可依、权责对等。</w:t>
      </w:r>
    </w:p>
    <w:p w14:paraId="61AEA13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依法合规，强化约束。</w:t>
      </w:r>
      <w:r>
        <w:rPr>
          <w:rFonts w:hint="eastAsia" w:ascii="仿宋_GB2312" w:hAnsi="仿宋_GB2312" w:eastAsia="仿宋_GB2312" w:cs="仿宋_GB2312"/>
          <w:sz w:val="32"/>
          <w:szCs w:val="32"/>
        </w:rPr>
        <w:t>资金共管活动必须严格遵守国家及自治区相关法律法规、政策规定以及合同约定。对违反资金管理规定的行为，依法依规追究相关责任单位和责任人的责任，切实维护各方合法权益。</w:t>
      </w:r>
    </w:p>
    <w:p w14:paraId="73C1997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全程透明，动态监管。</w:t>
      </w:r>
      <w:r>
        <w:rPr>
          <w:rFonts w:hint="eastAsia" w:ascii="仿宋_GB2312" w:hAnsi="仿宋_GB2312" w:eastAsia="仿宋_GB2312" w:cs="仿宋_GB2312"/>
          <w:sz w:val="32"/>
          <w:szCs w:val="32"/>
        </w:rPr>
        <w:t>建立资金流向全过程公开、可追溯机制。实行资金使用计划报备、支付申请材料公示（在限定范围内）、关键支付节点信息共享等制度。确保资金拨付与工程实际进度、合同约定紧密匹配，实现资金流、工程流、信息流的协同与相互制约。</w:t>
      </w:r>
    </w:p>
    <w:p w14:paraId="7185106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协同联动，高效运转。</w:t>
      </w:r>
      <w:r>
        <w:rPr>
          <w:rFonts w:hint="eastAsia" w:ascii="仿宋_GB2312" w:hAnsi="仿宋_GB2312" w:eastAsia="仿宋_GB2312" w:cs="仿宋_GB2312"/>
          <w:sz w:val="32"/>
          <w:szCs w:val="32"/>
        </w:rPr>
        <w:t>建立健全建设单位、施工单位、监理单位（如适用）、金融机构等多方协同工作机制。加强信息互通与业务衔接，优化资金审核支付流程，提高资金运转效率，保障工程顺利推进。</w:t>
      </w:r>
    </w:p>
    <w:p w14:paraId="6B6A17A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工作目标</w:t>
      </w:r>
    </w:p>
    <w:p w14:paraId="5C96D4D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压实主体责任</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明确并强化建设单位首要支付责任和施工单位资金规范使用直接责任。</w:t>
      </w:r>
      <w:r>
        <w:rPr>
          <w:rFonts w:hint="eastAsia" w:ascii="楷体_GB2312" w:hAnsi="楷体_GB2312" w:eastAsia="楷体_GB2312" w:cs="楷体_GB2312"/>
          <w:b w:val="0"/>
          <w:bCs w:val="0"/>
          <w:sz w:val="32"/>
          <w:szCs w:val="32"/>
        </w:rPr>
        <w:t>强化源头管控</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从合同签订和账户设立源头入手，筑牢资金安全防线。</w:t>
      </w:r>
      <w:r>
        <w:rPr>
          <w:rFonts w:hint="eastAsia" w:ascii="楷体_GB2312" w:hAnsi="楷体_GB2312" w:eastAsia="楷体_GB2312" w:cs="楷体_GB2312"/>
          <w:b w:val="0"/>
          <w:bCs w:val="0"/>
          <w:sz w:val="32"/>
          <w:szCs w:val="32"/>
        </w:rPr>
        <w:t>加强过程监管</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实现对项目建设资金流向和使用状态的实时、动态监控，及时发现和纠正违规行为。</w:t>
      </w:r>
      <w:r>
        <w:rPr>
          <w:rFonts w:hint="eastAsia" w:ascii="楷体_GB2312" w:hAnsi="楷体_GB2312" w:eastAsia="楷体_GB2312" w:cs="楷体_GB2312"/>
          <w:b w:val="0"/>
          <w:bCs w:val="0"/>
          <w:sz w:val="32"/>
          <w:szCs w:val="32"/>
        </w:rPr>
        <w:t>防范化解风险</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有效预防和遏制因资金挪用、拖欠导致的工程停工、烂尾等风险事件。</w:t>
      </w:r>
      <w:r>
        <w:rPr>
          <w:rFonts w:hint="eastAsia" w:ascii="楷体_GB2312" w:hAnsi="楷体_GB2312" w:eastAsia="楷体_GB2312" w:cs="楷体_GB2312"/>
          <w:b w:val="0"/>
          <w:bCs w:val="0"/>
          <w:sz w:val="32"/>
          <w:szCs w:val="32"/>
        </w:rPr>
        <w:t>提升资金效益</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确保建设资金专款专用，提高财政资金和项目投资的使用效益。</w:t>
      </w:r>
      <w:r>
        <w:rPr>
          <w:rFonts w:hint="eastAsia" w:ascii="楷体_GB2312" w:hAnsi="楷体_GB2312" w:eastAsia="楷体_GB2312" w:cs="楷体_GB2312"/>
          <w:b w:val="0"/>
          <w:bCs w:val="0"/>
          <w:sz w:val="32"/>
          <w:szCs w:val="32"/>
        </w:rPr>
        <w:t>保障工程质效</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为工程质量和施工安全提供稳定的资金保障，促进项目按期优质完成。</w:t>
      </w:r>
      <w:r>
        <w:rPr>
          <w:rFonts w:hint="eastAsia" w:ascii="楷体_GB2312" w:hAnsi="楷体_GB2312" w:eastAsia="楷体_GB2312" w:cs="楷体_GB2312"/>
          <w:b w:val="0"/>
          <w:bCs w:val="0"/>
          <w:sz w:val="32"/>
          <w:szCs w:val="32"/>
        </w:rPr>
        <w:t>构建诚信环境</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推动建筑市场信用体系建设，营造守法履约、诚实守信的良好行业氛围。</w:t>
      </w:r>
    </w:p>
    <w:p w14:paraId="0B8944F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、主要内容与实施程序</w:t>
      </w:r>
    </w:p>
    <w:p w14:paraId="230246C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适用范围与协议规定</w:t>
      </w:r>
    </w:p>
    <w:p w14:paraId="0E5D2B3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适用范围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本意见适用于自治区行政区域内使用国有资金（包括财政预算资金、政府债券、国有企事业单位自筹资金等）投资或主导的房屋建筑和市政基础设施工程项目。鼓励其他社会投资项目参照执行。</w:t>
      </w:r>
    </w:p>
    <w:p w14:paraId="5274A19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招标文件明示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采用资金共管模式的项目，建设单位必须在项目招标公告和招标文件中清晰、详尽地载明资金共管的具体要求，包括但不限于共管模式、账户设立要求、资金缴存方式、使用流程、各方职责、违约责任等核心条款。此要求应作为投标人响应的重要条件。</w:t>
      </w:r>
    </w:p>
    <w:p w14:paraId="41EB9C6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同步签订协议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建设单位与施工单位在签订正式施工合同的同时，</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依据招标文件和法律法规要求，签订内容完备、权责明确的《共管协议》（附件为参考示例）。《共管协议》是施工合同不可分割的重要组成部分。</w:t>
      </w:r>
    </w:p>
    <w:p w14:paraId="72E8212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共管账户的设立与管理</w:t>
      </w:r>
    </w:p>
    <w:p w14:paraId="3C0A97A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账户开立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设项目开工前，建设单位与施工单位应共同选定一家在自治区内设有分支机构的银行业金融机构（以下简称“金融机构”），以建设单位和施工单位双方名义（或按协议约定方式）开立唯一的工程项目建设资金共管专用账户（以下简称“共管账户”）。</w:t>
      </w:r>
    </w:p>
    <w:p w14:paraId="60ECF976">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账户信息</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共管协议》中必须明确共管账户的名称、账号、开户行、共管期限（原则上覆盖项目建设全过程至最终结算）、共管资金范围（明确为项目工程进度款、结算款等，不含农民工工资，农民工工资按国家规定存入专用账户）。</w:t>
      </w:r>
    </w:p>
    <w:p w14:paraId="3E27A9B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账户性质与用途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共管账户为专用监管账户，仅限于本工程项目工程款的缴存、支付及相关利息（如有）的收付。严禁用于与项目无关的任何收支。</w:t>
      </w:r>
    </w:p>
    <w:p w14:paraId="0653079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账户变更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共管账户信息原则上不得变更。确需变更的，必须由建设单位和施工单位共同出具书面申请，经金融机构审核同意并重新签订或补充协议后方可办理。变更情况应及时向项目属地住建主管部门报备。</w:t>
      </w:r>
    </w:p>
    <w:p w14:paraId="7A26FDA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资金的缴存与使用流程</w:t>
      </w:r>
    </w:p>
    <w:p w14:paraId="171B2A3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资金缴存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建设单位应严格按照施工合同约定的付款条件和期限，将应付的工程款（预付款、进度款、结算款等）足额、及时直接缴存（或划拨）至项目共管账户。严禁将工程款支付至施工单位其他账户。</w:t>
      </w:r>
    </w:p>
    <w:p w14:paraId="467219B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用款计划</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施工单位应根据经监理单位和建设单位确认的工程进度计划及施工合同，按合同约定周期编制详细的工程款资金使用计划，明确资金用途、支付对象及金额。该计划需提前报建设单位和金融机构备案。</w:t>
      </w:r>
    </w:p>
    <w:p w14:paraId="1A91CBD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支付申请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施工单位在满足合同约定的支付节点或条件后，需向建设单位提交正式的工程款支付申请。申请材料必须真实、完整、有效，通常包括</w:t>
      </w:r>
      <w:r>
        <w:rPr>
          <w:rFonts w:hint="eastAsia" w:ascii="仿宋_GB2312" w:hAnsi="仿宋_GB2312" w:eastAsia="仿宋_GB2312" w:cs="仿宋_GB2312"/>
          <w:sz w:val="32"/>
          <w:szCs w:val="32"/>
          <w:lang w:val="en-US" w:eastAsia="zh-CN"/>
        </w:rPr>
        <w:t>一下内容</w:t>
      </w:r>
      <w:r>
        <w:rPr>
          <w:rFonts w:hint="eastAsia" w:ascii="仿宋_GB2312" w:hAnsi="仿宋_GB2312" w:eastAsia="仿宋_GB2312" w:cs="仿宋_GB2312"/>
          <w:sz w:val="32"/>
          <w:szCs w:val="32"/>
        </w:rPr>
        <w:t>：</w:t>
      </w:r>
    </w:p>
    <w:p w14:paraId="5346271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工程款支付申请表。</w:t>
      </w:r>
    </w:p>
    <w:p w14:paraId="18B05A7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经监理单位和建设单位确认的工程进度报告或工程量确认单。</w:t>
      </w:r>
    </w:p>
    <w:p w14:paraId="5C6E465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与本次申请支付内容相对应的证明材料（如：材料设备采购合同及验收单、发票；机械租赁合同及结算单、发票；专业分包合同及进度确认单、发票）。</w:t>
      </w:r>
    </w:p>
    <w:p w14:paraId="1F9BF40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当期资金使用计划执行情况说明（如有偏差需说明原因）。</w:t>
      </w:r>
    </w:p>
    <w:p w14:paraId="13DF1B76">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支付审核</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建设单位审核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建设单位收到支付申请后，应依据合同、《共管协议》和工程实际进度，在</w:t>
      </w:r>
      <w:r>
        <w:rPr>
          <w:rFonts w:hint="eastAsia" w:ascii="仿宋_GB2312" w:hAnsi="仿宋_GB2312" w:eastAsia="仿宋_GB2312" w:cs="仿宋_GB2312"/>
          <w:sz w:val="32"/>
          <w:szCs w:val="32"/>
          <w:lang w:val="en-US" w:eastAsia="zh-CN"/>
        </w:rPr>
        <w:t>约定</w:t>
      </w:r>
      <w:r>
        <w:rPr>
          <w:rFonts w:hint="eastAsia" w:ascii="仿宋_GB2312" w:hAnsi="仿宋_GB2312" w:eastAsia="仿宋_GB2312" w:cs="仿宋_GB2312"/>
          <w:sz w:val="32"/>
          <w:szCs w:val="32"/>
        </w:rPr>
        <w:t>时限内完成对申请材料真实性、合规性、完整性的审核，并签署明确的审核意见（同意支付金额、部分支付或不同意支付及理由）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金融机构复核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融机构收到经建设单位审核同意的支付申请及相关材料后，应依据《共管协议》、备案的资金使用计划、建设单位签署的意见以及相关法律法规、支付结算规定进行复核。复核重点包括：支付对象是否在计划内、金额是否在计划范围内且与证明材料匹配、收款账户信息是否合规、相关凭证是否齐全有效等</w:t>
      </w:r>
      <w:r>
        <w:rPr>
          <w:rFonts w:hint="eastAsia" w:ascii="仿宋_GB2312" w:hAnsi="仿宋_GB2312" w:eastAsia="仿宋_GB2312" w:cs="仿宋_GB2312"/>
          <w:sz w:val="32"/>
          <w:szCs w:val="32"/>
          <w:lang w:eastAsia="zh-CN"/>
        </w:rPr>
        <w:t>；</w:t>
      </w:r>
    </w:p>
    <w:p w14:paraId="5CB3B00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资金支付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经金融机构复核无误后，应按照《共管协议》约定的方式和时限内，将款项从共管账户直接支付到施工单位申请中指定的、与项目建设直接相关的最终收款方账户。严禁将工程款直接支付给施工单位或由其控制的其他账户，特殊情况（如小额零星开支）需在协议中严格限定并明确监管措施。</w:t>
      </w:r>
    </w:p>
    <w:p w14:paraId="33199DA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过程监管与规范管理</w:t>
      </w:r>
    </w:p>
    <w:p w14:paraId="00352B1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严格协议执行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《共管协议》是资金管理的根本依据。协议中必须详细约定工程款支付的各项关键要素，包括支付条件（节点）、支付比例、支付时限、申请材料要求、审核流程与时限、违约责任等。</w:t>
      </w:r>
    </w:p>
    <w:p w14:paraId="39ADD1E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强化过程监管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严格实行工程进度款制度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拨付金额必须与经确认的实际完成工程量及合同单价相匹配。建设单位、监理单位应切实履行进度审核职责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建设单位应联合金融机构，定期对资金使用计划执行情况进行核查，比对实际支付与计划、实际工程进度的吻合度，及时发现异常</w:t>
      </w:r>
      <w:r>
        <w:rPr>
          <w:rFonts w:hint="eastAsia" w:ascii="仿宋_GB2312" w:hAnsi="仿宋_GB2312" w:eastAsia="仿宋_GB2312" w:cs="仿宋_GB2312"/>
          <w:sz w:val="32"/>
          <w:szCs w:val="32"/>
          <w:lang w:eastAsia="zh-CN"/>
        </w:rPr>
        <w:t>。</w:t>
      </w:r>
    </w:p>
    <w:p w14:paraId="64B0612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规范结算与清算</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及时结算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工程竣工验收合格后，建设单位和施工单位应严格按照合同约定和国家相关规定，及时办理工程竣工结算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竣工结算经双方确认后，建设单位和施工单位应依据结算结果，就共管账户内的剩余资金及后续事项签署书面清算协议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金融机构根据双方签署的清算协议，办理共管账户内资金的最终划转和账户撤销手续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按照合同约定和国家规定预留工程质量保证金。保证金应存入双方认可或指定的监管账户（可以是原共管账户的延续或专门账户）。保修期满且无质量问题后，建设单位应按规定程序及时返还。</w:t>
      </w:r>
    </w:p>
    <w:p w14:paraId="4C73CBE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、保障措施与责任追究</w:t>
      </w:r>
    </w:p>
    <w:p w14:paraId="6903E6B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压实各方主体责任</w:t>
      </w:r>
    </w:p>
    <w:p w14:paraId="2777572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建设单位首要责任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建设单位对工程款按时足额支付至共管账户负首要责任。应建立健全内部资金支付审核制度，明确责任部门和责任人。严禁无故拖延支付、不足额支付或将资金拨付至非共管账户。应监督施工单位规范使用资金。</w:t>
      </w:r>
    </w:p>
    <w:p w14:paraId="04413F6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施工单位直接责任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单位对项目资金的规范使用负直接责任。必须严格按照《共管协议》和资金使用计划申请和使用资金，确保资金用于本项目工程建设。严禁提供虚假材料套取资金、将工程款挪作他用或转入非项目关联账户。应按时足额支付材料设备款、分包工程款等。</w:t>
      </w:r>
    </w:p>
    <w:p w14:paraId="226A196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金融机构审核责任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金融机构对支付申请的合规性复核负审核责任。应严格按照《共管协议》、备案资料和相关法规制度进行独立、审慎复核。严禁在缺少建设单位、施工单位有效授权或审核意见不明确的情况下办理资金转出。应配合提供必要的账户监管信息。</w:t>
      </w:r>
    </w:p>
    <w:p w14:paraId="4E24893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监理单位监督责任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监理单位应切实履行工程进度、质量审核职责，对工程量、进度报告的真实性负责，为资金支付提供准确依据。</w:t>
      </w:r>
    </w:p>
    <w:p w14:paraId="7965810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严肃违法违规责任追究</w:t>
      </w:r>
    </w:p>
    <w:p w14:paraId="3B5B30D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对在项目建设资金管理过程中发现的挪用、侵占、拖欠工程款、虚假申请、违规支付、逃避共管等违法违规行为，坚持“零容忍”，依法依规严肃查处。</w:t>
      </w:r>
    </w:p>
    <w:p w14:paraId="078CB24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对建设单位存在挪用、拖欠工程款等行为的</w:t>
      </w:r>
      <w:r>
        <w:rPr>
          <w:rFonts w:hint="eastAsia" w:ascii="仿宋_GB2312" w:hAnsi="仿宋_GB2312" w:eastAsia="仿宋_GB2312" w:cs="仿宋_GB2312"/>
          <w:sz w:val="32"/>
          <w:szCs w:val="32"/>
        </w:rPr>
        <w:t>，施工单位可依法向项目所在地纪检监察机关</w:t>
      </w:r>
      <w:r>
        <w:rPr>
          <w:rFonts w:hint="eastAsia" w:ascii="仿宋_GB2312" w:hAnsi="仿宋_GB2312" w:eastAsia="仿宋_GB2312" w:cs="仿宋_GB2312"/>
          <w:sz w:val="32"/>
          <w:szCs w:val="32"/>
          <w:lang w:val="en-US" w:eastAsia="zh-CN"/>
        </w:rPr>
        <w:t>或向</w:t>
      </w:r>
      <w:r>
        <w:rPr>
          <w:rFonts w:hint="eastAsia" w:ascii="仿宋_GB2312" w:hAnsi="仿宋_GB2312" w:eastAsia="仿宋_GB2312" w:cs="仿宋_GB2312"/>
          <w:sz w:val="32"/>
          <w:szCs w:val="32"/>
        </w:rPr>
        <w:t>住房和城乡建设主管部门投诉举报。查证属实的，依法追究建设单位及其责任人员的责任，并视情采取通报批评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移送纪检监察机关等措施。</w:t>
      </w:r>
    </w:p>
    <w:p w14:paraId="0BCD3B9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对施工单位存在挪用项目建设资金、套取资金、拖欠分包工程款等行为的</w:t>
      </w:r>
      <w:r>
        <w:rPr>
          <w:rFonts w:hint="eastAsia" w:ascii="仿宋_GB2312" w:hAnsi="仿宋_GB2312" w:eastAsia="仿宋_GB2312" w:cs="仿宋_GB2312"/>
          <w:sz w:val="32"/>
          <w:szCs w:val="32"/>
        </w:rPr>
        <w:t>，建设单位应立即暂停后续资金支付，并依法向项目所在地住房和城乡建设主管部门投诉举报。主管部门应迅速核查，依法严肃处理，可采取责令整改、罚款、记录不良行为等处罚措施。涉嫌犯罪的，移送司法机关。</w:t>
      </w:r>
    </w:p>
    <w:p w14:paraId="5FF52C0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金融机构未履行协议约定审核职责，导致资金被违规支付的</w:t>
      </w:r>
      <w:r>
        <w:rPr>
          <w:rFonts w:hint="eastAsia" w:ascii="仿宋_GB2312" w:hAnsi="仿宋_GB2312" w:eastAsia="仿宋_GB2312" w:cs="仿宋_GB2312"/>
          <w:sz w:val="32"/>
          <w:szCs w:val="32"/>
        </w:rPr>
        <w:t>，应承担相应责任，建设单位和施工单位可依据协议追究其违约责任，并向金融监管部门反映。金融机构自身违规操作，依法由金融监管部门查处。</w:t>
      </w:r>
    </w:p>
    <w:p w14:paraId="776F9DB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（三）司法机关扣划资金及补救措施</w:t>
      </w:r>
    </w:p>
    <w:p w14:paraId="1CBABF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如司法机关持生效的法律文书，如判决书、裁定书等，依据申请执行人或其他利害关系人的申请，或者依职权主动采取扣划措施</w:t>
      </w:r>
      <w:r>
        <w:rPr>
          <w:rFonts w:hint="eastAsia" w:ascii="仿宋" w:hAnsi="仿宋" w:eastAsia="仿宋"/>
          <w:sz w:val="32"/>
          <w:szCs w:val="32"/>
          <w:lang w:eastAsia="zh-CN"/>
        </w:rPr>
        <w:t>的</w:t>
      </w:r>
      <w:r>
        <w:rPr>
          <w:rFonts w:hint="eastAsia" w:ascii="仿宋" w:hAnsi="仿宋" w:eastAsia="仿宋"/>
          <w:sz w:val="32"/>
          <w:szCs w:val="32"/>
        </w:rPr>
        <w:t>。</w:t>
      </w:r>
    </w:p>
    <w:p w14:paraId="62ED7ECD">
      <w:pPr>
        <w:pStyle w:val="8"/>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仿宋" w:hAnsi="仿宋" w:eastAsia="仿宋"/>
          <w:sz w:val="32"/>
          <w:szCs w:val="32"/>
        </w:rPr>
      </w:pPr>
      <w:r>
        <w:rPr>
          <w:rFonts w:hint="eastAsia" w:ascii="仿宋" w:hAnsi="仿宋" w:eastAsia="仿宋"/>
          <w:sz w:val="32"/>
          <w:szCs w:val="32"/>
        </w:rPr>
        <w:t>金融机构在收到司法机关</w:t>
      </w:r>
      <w:r>
        <w:rPr>
          <w:rFonts w:ascii="仿宋" w:hAnsi="仿宋" w:eastAsia="仿宋"/>
          <w:sz w:val="32"/>
          <w:szCs w:val="32"/>
        </w:rPr>
        <w:t>送达</w:t>
      </w:r>
      <w:r>
        <w:rPr>
          <w:rFonts w:hint="eastAsia" w:ascii="仿宋" w:hAnsi="仿宋" w:eastAsia="仿宋"/>
          <w:sz w:val="32"/>
          <w:szCs w:val="32"/>
        </w:rPr>
        <w:t>的</w:t>
      </w:r>
      <w:r>
        <w:rPr>
          <w:rFonts w:ascii="仿宋" w:hAnsi="仿宋" w:eastAsia="仿宋"/>
          <w:sz w:val="32"/>
          <w:szCs w:val="32"/>
        </w:rPr>
        <w:t>协助执行通知书</w:t>
      </w:r>
      <w:r>
        <w:rPr>
          <w:rFonts w:hint="eastAsia" w:ascii="仿宋" w:hAnsi="仿宋" w:eastAsia="仿宋"/>
          <w:sz w:val="32"/>
          <w:szCs w:val="32"/>
        </w:rPr>
        <w:t>后，应第一时间通知建设单位。同时，应向司法机关阐明共管账户的性质与用途，资金来源于国有资金（包括财政资金、政府债券、国有企事业单位自筹资金等），扣划后对项目建设造成的不良影响等，建议司法机关从</w:t>
      </w:r>
      <w:r>
        <w:rPr>
          <w:rFonts w:hint="eastAsia" w:ascii="仿宋" w:hAnsi="仿宋" w:eastAsia="仿宋"/>
          <w:sz w:val="32"/>
          <w:szCs w:val="32"/>
          <w:lang w:eastAsia="zh-CN"/>
        </w:rPr>
        <w:t>施工</w:t>
      </w:r>
      <w:r>
        <w:rPr>
          <w:rFonts w:hint="eastAsia" w:ascii="仿宋" w:hAnsi="仿宋" w:eastAsia="仿宋"/>
          <w:sz w:val="32"/>
          <w:szCs w:val="32"/>
        </w:rPr>
        <w:t>单位的基本存款账户扣划。</w:t>
      </w:r>
    </w:p>
    <w:p w14:paraId="3C8BFF3D">
      <w:pPr>
        <w:pStyle w:val="8"/>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黑体" w:hAnsi="黑体" w:eastAsia="黑体" w:cs="黑体"/>
          <w:sz w:val="32"/>
          <w:szCs w:val="32"/>
          <w:lang w:eastAsia="zh-CN"/>
        </w:rPr>
      </w:pPr>
      <w:r>
        <w:rPr>
          <w:rFonts w:hint="eastAsia" w:ascii="仿宋" w:hAnsi="仿宋" w:eastAsia="仿宋"/>
          <w:sz w:val="32"/>
          <w:szCs w:val="32"/>
        </w:rPr>
        <w:t>如司法机关执意从共管账户扣划资金，金融机构应首先取得建设单位的同意。同时，建设单位责令施工单位补充与扣划资金同等金额的资金到共管账户。如施工单位拒绝补充资金到共管账户，将视为项目建设资金被“侵占”，建设单位应立即暂停后续资金支付，并依法向项目所在地住房和城乡建设主管部门投诉举报。住房和城乡建设主管部门应迅速核查，依法严肃处理，可采取责令整改、罚款、记录不良行为等处罚措施。</w:t>
      </w:r>
    </w:p>
    <w:p w14:paraId="167B0D3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、附则</w:t>
      </w:r>
    </w:p>
    <w:p w14:paraId="4457AA36">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(一)本指导意见适用于西藏自治区行政区域内的房屋建筑和市政基础设施工程项目。</w:t>
      </w:r>
    </w:p>
    <w:p w14:paraId="572FDA9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各地（市）住房和城乡建设主管部门可结合本地实际，依据本意见制定具体的实施细则或管理办法。</w:t>
      </w:r>
    </w:p>
    <w:p w14:paraId="11ACE0F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本指导意见由西藏自治区住房和城乡建设厅负责解释。</w:t>
      </w:r>
    </w:p>
    <w:p w14:paraId="78B698C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p>
    <w:p w14:paraId="5624A7A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附件：工程资金共管协议（参考示例）</w:t>
      </w:r>
    </w:p>
    <w:p w14:paraId="760B208F">
      <w:pPr>
        <w:pageBreakBefore w:val="0"/>
        <w:widowControl/>
        <w:kinsoku/>
        <w:wordWrap/>
        <w:overflowPunct/>
        <w:topLinePunct w:val="0"/>
        <w:autoSpaceDE/>
        <w:autoSpaceDN/>
        <w:bidi w:val="0"/>
        <w:adjustRightInd/>
        <w:snapToGrid w:val="0"/>
        <w:spacing w:beforeAutospacing="0" w:afterAutospacing="0" w:line="576" w:lineRule="exact"/>
        <w:ind w:left="0" w:firstLine="4457" w:firstLineChars="1850"/>
        <w:jc w:val="left"/>
        <w:rPr>
          <w:rFonts w:hint="eastAsia" w:ascii="宋体" w:hAnsi="宋体" w:cs="宋体"/>
          <w:b/>
          <w:bCs/>
          <w:kern w:val="0"/>
          <w:sz w:val="24"/>
        </w:rPr>
      </w:pPr>
    </w:p>
    <w:p w14:paraId="0990A5F4">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p>
    <w:p w14:paraId="5691F5C4">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p>
    <w:p w14:paraId="2DE162E5">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p>
    <w:p w14:paraId="333DF514">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p>
    <w:p w14:paraId="6B6BC752">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p>
    <w:p w14:paraId="29DD677B">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p>
    <w:p w14:paraId="6A9F28CC">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p>
    <w:p w14:paraId="0A8061F4">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p>
    <w:p w14:paraId="6DC88CA5">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p>
    <w:p w14:paraId="24F63852">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p>
    <w:p w14:paraId="3D7B77B4">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p>
    <w:p w14:paraId="5C694EE6">
      <w:pPr>
        <w:pStyle w:val="2"/>
        <w:rPr>
          <w:rFonts w:hint="eastAsia" w:ascii="黑体" w:hAnsi="黑体" w:eastAsia="黑体" w:cs="黑体"/>
          <w:sz w:val="32"/>
          <w:szCs w:val="32"/>
          <w:lang w:eastAsia="zh-CN"/>
        </w:rPr>
      </w:pPr>
    </w:p>
    <w:p w14:paraId="6576F40E">
      <w:pPr>
        <w:rPr>
          <w:rFonts w:hint="eastAsia" w:ascii="黑体" w:hAnsi="黑体" w:eastAsia="黑体" w:cs="黑体"/>
          <w:sz w:val="32"/>
          <w:szCs w:val="32"/>
          <w:lang w:eastAsia="zh-CN"/>
        </w:rPr>
      </w:pPr>
    </w:p>
    <w:p w14:paraId="6345DD37">
      <w:pPr>
        <w:pStyle w:val="2"/>
        <w:rPr>
          <w:rFonts w:hint="eastAsia" w:ascii="黑体" w:hAnsi="黑体" w:eastAsia="黑体" w:cs="黑体"/>
          <w:sz w:val="32"/>
          <w:szCs w:val="32"/>
          <w:lang w:eastAsia="zh-CN"/>
        </w:rPr>
      </w:pPr>
    </w:p>
    <w:p w14:paraId="1EFA71E9">
      <w:pPr>
        <w:rPr>
          <w:rFonts w:hint="eastAsia" w:ascii="黑体" w:hAnsi="黑体" w:eastAsia="黑体" w:cs="黑体"/>
          <w:sz w:val="32"/>
          <w:szCs w:val="32"/>
          <w:lang w:eastAsia="zh-CN"/>
        </w:rPr>
      </w:pPr>
    </w:p>
    <w:p w14:paraId="419D8EE0">
      <w:pPr>
        <w:pStyle w:val="2"/>
        <w:rPr>
          <w:rFonts w:hint="eastAsia"/>
          <w:lang w:eastAsia="zh-CN"/>
        </w:rPr>
      </w:pPr>
    </w:p>
    <w:p w14:paraId="073D4560">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6338F61A">
      <w:pPr>
        <w:pageBreakBefore w:val="0"/>
        <w:widowControl/>
        <w:kinsoku/>
        <w:wordWrap/>
        <w:overflowPunct/>
        <w:topLinePunct w:val="0"/>
        <w:autoSpaceDE/>
        <w:autoSpaceDN/>
        <w:bidi w:val="0"/>
        <w:adjustRightInd/>
        <w:snapToGrid w:val="0"/>
        <w:spacing w:beforeAutospacing="0" w:afterAutospacing="0" w:line="240" w:lineRule="auto"/>
        <w:ind w:left="0" w:firstLine="5662" w:firstLineChars="2350"/>
        <w:jc w:val="left"/>
        <w:textAlignment w:val="auto"/>
        <w:rPr>
          <w:rFonts w:ascii="宋体" w:hAnsi="宋体" w:cs="宋体"/>
          <w:b/>
          <w:bCs/>
          <w:kern w:val="0"/>
          <w:sz w:val="24"/>
        </w:rPr>
      </w:pPr>
      <w:r>
        <w:rPr>
          <w:rFonts w:hint="eastAsia" w:ascii="宋体" w:hAnsi="宋体" w:cs="宋体"/>
          <w:b/>
          <w:bCs/>
          <w:kern w:val="0"/>
          <w:sz w:val="24"/>
        </w:rPr>
        <w:t>协议编号：</w:t>
      </w:r>
      <w:r>
        <w:rPr>
          <w:rFonts w:hint="eastAsia" w:ascii="宋体" w:hAnsi="宋体" w:cs="宋体"/>
          <w:b/>
          <w:bCs/>
          <w:kern w:val="0"/>
          <w:sz w:val="24"/>
          <w:u w:val="single"/>
        </w:rPr>
        <w:t xml:space="preserve"> </w:t>
      </w:r>
      <w:r>
        <w:rPr>
          <w:rFonts w:ascii="宋体" w:hAnsi="宋体" w:cs="宋体"/>
          <w:b/>
          <w:bCs/>
          <w:kern w:val="0"/>
          <w:sz w:val="24"/>
          <w:u w:val="single"/>
        </w:rPr>
        <w:t xml:space="preserve">                 </w:t>
      </w:r>
    </w:p>
    <w:p w14:paraId="207CEA6E">
      <w:pPr>
        <w:pStyle w:val="2"/>
        <w:pageBreakBefore w:val="0"/>
        <w:kinsoku/>
        <w:wordWrap/>
        <w:overflowPunct/>
        <w:topLinePunct w:val="0"/>
        <w:autoSpaceDE/>
        <w:autoSpaceDN/>
        <w:bidi w:val="0"/>
        <w:adjustRightInd/>
        <w:spacing w:before="0" w:beforeLines="0" w:beforeAutospacing="0" w:after="0" w:afterLines="0" w:afterAutospacing="0" w:line="240" w:lineRule="auto"/>
        <w:ind w:left="0"/>
        <w:textAlignment w:val="auto"/>
        <w:rPr>
          <w:rFonts w:hint="eastAsia" w:ascii="仿宋_GB2312" w:hAnsi="仿宋_GB2312" w:eastAsia="仿宋_GB2312" w:cs="仿宋_GB2312"/>
          <w:sz w:val="32"/>
          <w:szCs w:val="32"/>
          <w:lang w:eastAsia="zh-CN"/>
        </w:rPr>
      </w:pPr>
    </w:p>
    <w:p w14:paraId="7D25F26F">
      <w:pPr>
        <w:rPr>
          <w:rFonts w:hint="eastAsia"/>
        </w:rPr>
      </w:pPr>
    </w:p>
    <w:p w14:paraId="4AA9C776">
      <w:pPr>
        <w:pStyle w:val="2"/>
        <w:rPr>
          <w:rFonts w:hint="eastAsia"/>
        </w:rPr>
      </w:pPr>
    </w:p>
    <w:p w14:paraId="07FD9D86">
      <w:pPr>
        <w:pageBreakBefore w:val="0"/>
        <w:widowControl/>
        <w:kinsoku/>
        <w:wordWrap/>
        <w:overflowPunct/>
        <w:topLinePunct w:val="0"/>
        <w:autoSpaceDE/>
        <w:autoSpaceDN/>
        <w:bidi w:val="0"/>
        <w:adjustRightInd/>
        <w:snapToGrid w:val="0"/>
        <w:spacing w:beforeAutospacing="0" w:afterAutospacing="0" w:line="240" w:lineRule="auto"/>
        <w:ind w:left="0"/>
        <w:jc w:val="center"/>
        <w:textAlignment w:val="auto"/>
        <w:rPr>
          <w:rFonts w:ascii="华文中宋" w:hAnsi="华文中宋" w:eastAsia="华文中宋" w:cs="宋体"/>
          <w:b/>
          <w:spacing w:val="60"/>
          <w:kern w:val="0"/>
          <w:sz w:val="72"/>
          <w:szCs w:val="72"/>
        </w:rPr>
      </w:pPr>
      <w:r>
        <w:rPr>
          <w:rFonts w:hint="eastAsia" w:ascii="华文中宋" w:hAnsi="华文中宋" w:eastAsia="华文中宋" w:cs="宋体"/>
          <w:b/>
          <w:spacing w:val="60"/>
          <w:kern w:val="0"/>
          <w:sz w:val="72"/>
          <w:szCs w:val="72"/>
        </w:rPr>
        <w:t>工程资金</w:t>
      </w:r>
      <w:r>
        <w:rPr>
          <w:rFonts w:hint="eastAsia" w:ascii="华文中宋" w:hAnsi="华文中宋" w:eastAsia="华文中宋" w:cs="宋体"/>
          <w:b/>
          <w:spacing w:val="60"/>
          <w:kern w:val="0"/>
          <w:sz w:val="72"/>
          <w:szCs w:val="72"/>
          <w:lang w:eastAsia="zh-CN"/>
        </w:rPr>
        <w:t>共</w:t>
      </w:r>
      <w:r>
        <w:rPr>
          <w:rFonts w:hint="eastAsia" w:ascii="华文中宋" w:hAnsi="华文中宋" w:eastAsia="华文中宋" w:cs="宋体"/>
          <w:b/>
          <w:spacing w:val="60"/>
          <w:kern w:val="0"/>
          <w:sz w:val="72"/>
          <w:szCs w:val="72"/>
        </w:rPr>
        <w:t>管协议</w:t>
      </w:r>
    </w:p>
    <w:p w14:paraId="08F52BCC">
      <w:pPr>
        <w:pageBreakBefore w:val="0"/>
        <w:widowControl/>
        <w:kinsoku/>
        <w:wordWrap/>
        <w:overflowPunct/>
        <w:topLinePunct w:val="0"/>
        <w:autoSpaceDE/>
        <w:autoSpaceDN/>
        <w:bidi w:val="0"/>
        <w:adjustRightInd/>
        <w:snapToGrid w:val="0"/>
        <w:spacing w:beforeAutospacing="0" w:afterAutospacing="0" w:line="240" w:lineRule="auto"/>
        <w:ind w:left="0"/>
        <w:jc w:val="center"/>
        <w:textAlignment w:val="auto"/>
        <w:rPr>
          <w:rFonts w:ascii="仿宋_GB2312" w:hAnsi="宋体" w:cs="宋体"/>
          <w:kern w:val="0"/>
          <w:sz w:val="24"/>
        </w:rPr>
      </w:pPr>
      <w:r>
        <w:rPr>
          <w:rFonts w:hint="eastAsia" w:ascii="仿宋_GB2312" w:hAnsi="仿宋_GB2312" w:eastAsia="仿宋_GB2312" w:cs="仿宋_GB2312"/>
          <w:sz w:val="32"/>
          <w:szCs w:val="32"/>
        </w:rPr>
        <w:t>（参考示例）</w:t>
      </w:r>
    </w:p>
    <w:p w14:paraId="7E89057A">
      <w:pPr>
        <w:pageBreakBefore w:val="0"/>
        <w:widowControl/>
        <w:kinsoku/>
        <w:wordWrap/>
        <w:overflowPunct/>
        <w:topLinePunct w:val="0"/>
        <w:autoSpaceDE/>
        <w:autoSpaceDN/>
        <w:bidi w:val="0"/>
        <w:adjustRightInd/>
        <w:snapToGrid w:val="0"/>
        <w:spacing w:beforeAutospacing="0" w:afterAutospacing="0" w:line="576" w:lineRule="exact"/>
        <w:ind w:left="0"/>
        <w:jc w:val="left"/>
        <w:rPr>
          <w:rFonts w:ascii="仿宋_GB2312" w:hAnsi="宋体" w:cs="宋体"/>
          <w:kern w:val="0"/>
          <w:sz w:val="24"/>
        </w:rPr>
      </w:pPr>
    </w:p>
    <w:p w14:paraId="7122E795">
      <w:pPr>
        <w:pageBreakBefore w:val="0"/>
        <w:widowControl/>
        <w:kinsoku/>
        <w:wordWrap/>
        <w:overflowPunct/>
        <w:topLinePunct w:val="0"/>
        <w:autoSpaceDE/>
        <w:autoSpaceDN/>
        <w:bidi w:val="0"/>
        <w:adjustRightInd/>
        <w:snapToGrid w:val="0"/>
        <w:spacing w:beforeAutospacing="0" w:afterAutospacing="0" w:line="576" w:lineRule="exact"/>
        <w:ind w:left="0" w:firstLine="482" w:firstLineChars="201"/>
        <w:jc w:val="left"/>
        <w:rPr>
          <w:rFonts w:ascii="仿宋_GB2312" w:hAnsi="宋体" w:eastAsia="仿宋_GB2312" w:cs="宋体"/>
          <w:kern w:val="0"/>
          <w:sz w:val="24"/>
          <w:szCs w:val="32"/>
        </w:rPr>
      </w:pPr>
    </w:p>
    <w:p w14:paraId="410D2DD2">
      <w:pPr>
        <w:pageBreakBefore w:val="0"/>
        <w:widowControl/>
        <w:kinsoku/>
        <w:wordWrap/>
        <w:overflowPunct/>
        <w:topLinePunct w:val="0"/>
        <w:autoSpaceDE/>
        <w:autoSpaceDN/>
        <w:bidi w:val="0"/>
        <w:adjustRightInd/>
        <w:snapToGrid w:val="0"/>
        <w:spacing w:beforeAutospacing="0" w:afterAutospacing="0" w:line="576" w:lineRule="exact"/>
        <w:ind w:left="0" w:firstLine="1200" w:firstLineChars="500"/>
        <w:rPr>
          <w:rFonts w:hint="eastAsia" w:ascii="宋体" w:hAnsi="宋体" w:cs="宋体"/>
          <w:kern w:val="0"/>
          <w:sz w:val="24"/>
          <w:szCs w:val="32"/>
        </w:rPr>
      </w:pPr>
    </w:p>
    <w:p w14:paraId="7C6567FE">
      <w:pPr>
        <w:pageBreakBefore w:val="0"/>
        <w:widowControl/>
        <w:kinsoku/>
        <w:wordWrap/>
        <w:overflowPunct/>
        <w:topLinePunct w:val="0"/>
        <w:autoSpaceDE/>
        <w:autoSpaceDN/>
        <w:bidi w:val="0"/>
        <w:adjustRightInd/>
        <w:snapToGrid w:val="0"/>
        <w:spacing w:beforeAutospacing="0" w:afterAutospacing="0" w:line="576" w:lineRule="exact"/>
        <w:ind w:left="0" w:firstLine="1200" w:firstLineChars="500"/>
        <w:rPr>
          <w:rFonts w:hint="eastAsia" w:ascii="宋体" w:hAnsi="宋体" w:cs="宋体"/>
          <w:kern w:val="0"/>
          <w:sz w:val="24"/>
          <w:szCs w:val="32"/>
        </w:rPr>
      </w:pPr>
    </w:p>
    <w:p w14:paraId="026A63DE">
      <w:pPr>
        <w:pageBreakBefore w:val="0"/>
        <w:widowControl/>
        <w:kinsoku/>
        <w:wordWrap/>
        <w:overflowPunct/>
        <w:topLinePunct w:val="0"/>
        <w:autoSpaceDE/>
        <w:autoSpaceDN/>
        <w:bidi w:val="0"/>
        <w:adjustRightInd/>
        <w:snapToGrid w:val="0"/>
        <w:spacing w:beforeAutospacing="0" w:afterAutospacing="0" w:line="576" w:lineRule="exact"/>
        <w:rPr>
          <w:rFonts w:hint="eastAsia" w:ascii="宋体" w:hAnsi="宋体" w:cs="宋体"/>
          <w:kern w:val="0"/>
          <w:sz w:val="32"/>
          <w:szCs w:val="32"/>
        </w:rPr>
      </w:pPr>
    </w:p>
    <w:p w14:paraId="4B0BD482">
      <w:pPr>
        <w:pageBreakBefore w:val="0"/>
        <w:widowControl/>
        <w:kinsoku/>
        <w:wordWrap/>
        <w:overflowPunct/>
        <w:topLinePunct w:val="0"/>
        <w:autoSpaceDE/>
        <w:autoSpaceDN/>
        <w:bidi w:val="0"/>
        <w:adjustRightInd/>
        <w:snapToGrid w:val="0"/>
        <w:spacing w:beforeAutospacing="0" w:afterAutospacing="0" w:line="576" w:lineRule="exact"/>
        <w:rPr>
          <w:rFonts w:hint="eastAsia" w:ascii="宋体" w:hAnsi="宋体" w:cs="宋体"/>
          <w:kern w:val="0"/>
          <w:sz w:val="32"/>
          <w:szCs w:val="32"/>
        </w:rPr>
      </w:pPr>
    </w:p>
    <w:p w14:paraId="12253A7B">
      <w:pPr>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ascii="宋体" w:hAnsi="宋体" w:cs="宋体"/>
          <w:kern w:val="0"/>
          <w:sz w:val="32"/>
          <w:szCs w:val="32"/>
          <w:u w:val="single"/>
        </w:rPr>
      </w:pPr>
      <w:r>
        <w:rPr>
          <w:rFonts w:hint="eastAsia" w:ascii="宋体" w:hAnsi="宋体" w:cs="宋体"/>
          <w:kern w:val="0"/>
          <w:sz w:val="32"/>
          <w:szCs w:val="32"/>
        </w:rPr>
        <w:t>发 包 人：</w:t>
      </w:r>
      <w:r>
        <w:rPr>
          <w:rFonts w:ascii="宋体" w:hAnsi="宋体" w:cs="宋体"/>
          <w:kern w:val="0"/>
          <w:sz w:val="32"/>
          <w:szCs w:val="32"/>
          <w:u w:val="single"/>
        </w:rPr>
        <w:softHyphen/>
      </w:r>
      <w:r>
        <w:rPr>
          <w:rFonts w:ascii="宋体" w:hAnsi="宋体" w:cs="宋体"/>
          <w:kern w:val="0"/>
          <w:sz w:val="32"/>
          <w:szCs w:val="32"/>
          <w:u w:val="single"/>
        </w:rPr>
        <w:softHyphen/>
      </w:r>
      <w:r>
        <w:rPr>
          <w:rFonts w:ascii="宋体" w:hAnsi="宋体" w:cs="宋体"/>
          <w:kern w:val="0"/>
          <w:sz w:val="32"/>
          <w:szCs w:val="32"/>
          <w:u w:val="single"/>
        </w:rPr>
        <w:softHyphen/>
      </w:r>
      <w:r>
        <w:rPr>
          <w:rFonts w:ascii="宋体" w:hAnsi="宋体" w:cs="宋体"/>
          <w:kern w:val="0"/>
          <w:sz w:val="32"/>
          <w:szCs w:val="32"/>
          <w:u w:val="single"/>
        </w:rPr>
        <w:softHyphen/>
      </w:r>
      <w:r>
        <w:rPr>
          <w:rFonts w:ascii="宋体" w:hAnsi="宋体" w:cs="宋体"/>
          <w:kern w:val="0"/>
          <w:sz w:val="32"/>
          <w:szCs w:val="32"/>
          <w:u w:val="single"/>
        </w:rPr>
        <w:softHyphen/>
      </w:r>
      <w:r>
        <w:rPr>
          <w:rFonts w:ascii="宋体" w:hAnsi="宋体" w:cs="宋体"/>
          <w:kern w:val="0"/>
          <w:sz w:val="32"/>
          <w:szCs w:val="32"/>
          <w:u w:val="single"/>
        </w:rPr>
        <w:t>____________________________________</w:t>
      </w:r>
    </w:p>
    <w:p w14:paraId="77741FAD">
      <w:pPr>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ascii="宋体" w:hAnsi="宋体" w:cs="宋体"/>
          <w:kern w:val="0"/>
          <w:sz w:val="32"/>
          <w:szCs w:val="32"/>
          <w:u w:val="single"/>
        </w:rPr>
      </w:pPr>
      <w:r>
        <w:rPr>
          <w:rFonts w:hint="eastAsia" w:ascii="宋体" w:hAnsi="宋体" w:cs="宋体"/>
          <w:kern w:val="0"/>
          <w:sz w:val="32"/>
          <w:szCs w:val="32"/>
          <w:u w:val="none"/>
        </w:rPr>
        <w:t>承 包 人：</w:t>
      </w:r>
      <w:r>
        <w:rPr>
          <w:rFonts w:ascii="宋体" w:hAnsi="宋体" w:cs="宋体"/>
          <w:kern w:val="0"/>
          <w:sz w:val="32"/>
          <w:szCs w:val="32"/>
          <w:u w:val="single"/>
        </w:rPr>
        <w:softHyphen/>
      </w:r>
      <w:r>
        <w:rPr>
          <w:rFonts w:ascii="宋体" w:hAnsi="宋体" w:cs="宋体"/>
          <w:kern w:val="0"/>
          <w:sz w:val="32"/>
          <w:szCs w:val="32"/>
          <w:u w:val="single"/>
        </w:rPr>
        <w:softHyphen/>
      </w:r>
      <w:r>
        <w:rPr>
          <w:rFonts w:ascii="宋体" w:hAnsi="宋体" w:cs="宋体"/>
          <w:kern w:val="0"/>
          <w:sz w:val="32"/>
          <w:szCs w:val="32"/>
          <w:u w:val="single"/>
        </w:rPr>
        <w:softHyphen/>
      </w:r>
      <w:r>
        <w:rPr>
          <w:rFonts w:ascii="宋体" w:hAnsi="宋体" w:cs="宋体"/>
          <w:kern w:val="0"/>
          <w:sz w:val="32"/>
          <w:szCs w:val="32"/>
          <w:u w:val="single"/>
        </w:rPr>
        <w:softHyphen/>
      </w:r>
      <w:r>
        <w:rPr>
          <w:rFonts w:ascii="宋体" w:hAnsi="宋体" w:cs="宋体"/>
          <w:kern w:val="0"/>
          <w:sz w:val="32"/>
          <w:szCs w:val="32"/>
          <w:u w:val="single"/>
        </w:rPr>
        <w:softHyphen/>
      </w:r>
      <w:r>
        <w:rPr>
          <w:rFonts w:ascii="宋体" w:hAnsi="宋体" w:cs="宋体"/>
          <w:kern w:val="0"/>
          <w:sz w:val="32"/>
          <w:szCs w:val="32"/>
          <w:u w:val="single"/>
        </w:rPr>
        <w:t>____________________________________</w:t>
      </w:r>
    </w:p>
    <w:p w14:paraId="13F9DC8B">
      <w:pPr>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hint="default" w:ascii="宋体" w:hAnsi="宋体" w:cs="宋体" w:eastAsiaTheme="minorEastAsia"/>
          <w:kern w:val="0"/>
          <w:sz w:val="32"/>
          <w:szCs w:val="32"/>
          <w:u w:val="single"/>
          <w:lang w:val="en-US" w:eastAsia="zh-CN"/>
        </w:rPr>
      </w:pPr>
      <w:r>
        <w:rPr>
          <w:rFonts w:hint="eastAsia" w:ascii="宋体" w:hAnsi="宋体" w:cs="宋体"/>
          <w:kern w:val="0"/>
          <w:sz w:val="32"/>
          <w:szCs w:val="32"/>
          <w:u w:val="none"/>
        </w:rPr>
        <w:t>经办银行：</w:t>
      </w:r>
      <w:r>
        <w:rPr>
          <w:rFonts w:ascii="宋体" w:hAnsi="宋体" w:cs="宋体"/>
          <w:kern w:val="0"/>
          <w:sz w:val="32"/>
          <w:szCs w:val="32"/>
          <w:u w:val="none"/>
        </w:rPr>
        <w:softHyphen/>
      </w:r>
      <w:r>
        <w:rPr>
          <w:rFonts w:ascii="宋体" w:hAnsi="宋体" w:cs="宋体"/>
          <w:kern w:val="0"/>
          <w:sz w:val="32"/>
          <w:szCs w:val="32"/>
          <w:u w:val="none"/>
        </w:rPr>
        <w:softHyphen/>
      </w:r>
      <w:r>
        <w:rPr>
          <w:rFonts w:ascii="宋体" w:hAnsi="宋体" w:cs="宋体"/>
          <w:kern w:val="0"/>
          <w:sz w:val="32"/>
          <w:szCs w:val="32"/>
          <w:u w:val="none"/>
        </w:rPr>
        <w:softHyphen/>
      </w:r>
      <w:r>
        <w:rPr>
          <w:rFonts w:ascii="宋体" w:hAnsi="宋体" w:cs="宋体"/>
          <w:kern w:val="0"/>
          <w:sz w:val="32"/>
          <w:szCs w:val="32"/>
          <w:u w:val="none"/>
        </w:rPr>
        <w:softHyphen/>
      </w:r>
      <w:r>
        <w:rPr>
          <w:rFonts w:ascii="宋体" w:hAnsi="宋体" w:cs="宋体"/>
          <w:kern w:val="0"/>
          <w:sz w:val="32"/>
          <w:szCs w:val="32"/>
          <w:u w:val="none"/>
        </w:rPr>
        <w:softHyphen/>
      </w:r>
      <w:r>
        <w:rPr>
          <w:rFonts w:ascii="宋体" w:hAnsi="宋体" w:cs="宋体"/>
          <w:kern w:val="0"/>
          <w:sz w:val="32"/>
          <w:szCs w:val="32"/>
          <w:u w:val="none"/>
        </w:rPr>
        <w:t>____________________________</w:t>
      </w:r>
      <w:r>
        <w:rPr>
          <w:rFonts w:hint="eastAsia" w:ascii="宋体" w:hAnsi="宋体" w:cs="宋体"/>
          <w:kern w:val="0"/>
          <w:sz w:val="32"/>
          <w:szCs w:val="32"/>
          <w:u w:val="single"/>
          <w:lang w:val="en-US" w:eastAsia="zh-CN"/>
        </w:rPr>
        <w:t xml:space="preserve">        </w:t>
      </w:r>
    </w:p>
    <w:p w14:paraId="44A64BB5">
      <w:pPr>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hint="eastAsia" w:ascii="宋体" w:hAnsi="宋体" w:cs="宋体"/>
          <w:kern w:val="0"/>
          <w:sz w:val="32"/>
          <w:szCs w:val="32"/>
          <w:u w:val="none"/>
        </w:rPr>
      </w:pPr>
      <w:r>
        <w:rPr>
          <w:rFonts w:hint="eastAsia" w:ascii="宋体" w:hAnsi="宋体" w:cs="宋体"/>
          <w:kern w:val="0"/>
          <w:sz w:val="32"/>
          <w:szCs w:val="32"/>
          <w:u w:val="none"/>
        </w:rPr>
        <w:t>签订时间：</w:t>
      </w:r>
      <w:r>
        <w:rPr>
          <w:rFonts w:hint="eastAsia" w:ascii="宋体" w:hAnsi="宋体" w:cs="宋体"/>
          <w:kern w:val="0"/>
          <w:sz w:val="32"/>
          <w:szCs w:val="32"/>
          <w:u w:val="none"/>
        </w:rPr>
        <w:softHyphen/>
      </w:r>
      <w:r>
        <w:rPr>
          <w:rFonts w:hint="eastAsia" w:ascii="宋体" w:hAnsi="宋体" w:cs="宋体"/>
          <w:kern w:val="0"/>
          <w:sz w:val="32"/>
          <w:szCs w:val="32"/>
          <w:u w:val="none"/>
        </w:rPr>
        <w:softHyphen/>
      </w:r>
      <w:r>
        <w:rPr>
          <w:rFonts w:hint="eastAsia" w:ascii="宋体" w:hAnsi="宋体" w:cs="宋体"/>
          <w:kern w:val="0"/>
          <w:sz w:val="32"/>
          <w:szCs w:val="32"/>
          <w:u w:val="none"/>
        </w:rPr>
        <w:softHyphen/>
      </w:r>
      <w:r>
        <w:rPr>
          <w:rFonts w:hint="eastAsia" w:ascii="宋体" w:hAnsi="宋体" w:cs="宋体"/>
          <w:kern w:val="0"/>
          <w:sz w:val="32"/>
          <w:szCs w:val="32"/>
          <w:u w:val="none"/>
        </w:rPr>
        <w:softHyphen/>
      </w:r>
      <w:r>
        <w:rPr>
          <w:rFonts w:hint="eastAsia" w:ascii="宋体" w:hAnsi="宋体" w:cs="宋体"/>
          <w:kern w:val="0"/>
          <w:sz w:val="32"/>
          <w:szCs w:val="32"/>
          <w:u w:val="none"/>
        </w:rPr>
        <w:softHyphen/>
      </w:r>
      <w:r>
        <w:rPr>
          <w:rFonts w:hint="eastAsia" w:ascii="宋体" w:hAnsi="宋体" w:cs="宋体"/>
          <w:kern w:val="0"/>
          <w:sz w:val="32"/>
          <w:szCs w:val="32"/>
          <w:u w:val="none"/>
        </w:rPr>
        <w:t>____________________________________</w:t>
      </w:r>
    </w:p>
    <w:p w14:paraId="2608C156">
      <w:pPr>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Fonts w:ascii="宋体" w:hAnsi="宋体" w:cs="宋体"/>
          <w:kern w:val="0"/>
          <w:sz w:val="32"/>
          <w:szCs w:val="32"/>
          <w:u w:val="single"/>
        </w:rPr>
      </w:pPr>
      <w:r>
        <w:rPr>
          <w:rFonts w:hint="eastAsia" w:ascii="宋体" w:hAnsi="宋体" w:cs="宋体"/>
          <w:kern w:val="0"/>
          <w:sz w:val="32"/>
          <w:szCs w:val="32"/>
          <w:u w:val="none"/>
        </w:rPr>
        <w:t>签 订 地：</w:t>
      </w:r>
      <w:r>
        <w:rPr>
          <w:rFonts w:ascii="宋体" w:hAnsi="宋体" w:cs="宋体"/>
          <w:kern w:val="0"/>
          <w:sz w:val="32"/>
          <w:szCs w:val="32"/>
          <w:u w:val="none"/>
        </w:rPr>
        <w:softHyphen/>
      </w:r>
      <w:r>
        <w:rPr>
          <w:rFonts w:ascii="宋体" w:hAnsi="宋体" w:cs="宋体"/>
          <w:kern w:val="0"/>
          <w:sz w:val="32"/>
          <w:szCs w:val="32"/>
          <w:u w:val="none"/>
        </w:rPr>
        <w:softHyphen/>
      </w:r>
      <w:r>
        <w:rPr>
          <w:rFonts w:ascii="宋体" w:hAnsi="宋体" w:cs="宋体"/>
          <w:kern w:val="0"/>
          <w:sz w:val="32"/>
          <w:szCs w:val="32"/>
          <w:u w:val="none"/>
        </w:rPr>
        <w:softHyphen/>
      </w:r>
      <w:r>
        <w:rPr>
          <w:rFonts w:ascii="宋体" w:hAnsi="宋体" w:cs="宋体"/>
          <w:kern w:val="0"/>
          <w:sz w:val="32"/>
          <w:szCs w:val="32"/>
          <w:u w:val="none"/>
        </w:rPr>
        <w:softHyphen/>
      </w:r>
      <w:r>
        <w:rPr>
          <w:rFonts w:ascii="宋体" w:hAnsi="宋体" w:cs="宋体"/>
          <w:kern w:val="0"/>
          <w:sz w:val="32"/>
          <w:szCs w:val="32"/>
          <w:u w:val="none"/>
        </w:rPr>
        <w:softHyphen/>
      </w:r>
      <w:r>
        <w:rPr>
          <w:rFonts w:ascii="宋体" w:hAnsi="宋体" w:cs="宋体"/>
          <w:kern w:val="0"/>
          <w:sz w:val="32"/>
          <w:szCs w:val="32"/>
          <w:u w:val="none"/>
        </w:rPr>
        <w:t>_____________________________________</w:t>
      </w:r>
    </w:p>
    <w:p w14:paraId="187335FA">
      <w:pPr>
        <w:pageBreakBefore w:val="0"/>
        <w:widowControl/>
        <w:kinsoku/>
        <w:wordWrap/>
        <w:overflowPunct/>
        <w:topLinePunct w:val="0"/>
        <w:autoSpaceDE/>
        <w:autoSpaceDN/>
        <w:bidi w:val="0"/>
        <w:adjustRightInd/>
        <w:snapToGrid w:val="0"/>
        <w:spacing w:beforeAutospacing="0" w:afterAutospacing="0" w:line="576" w:lineRule="exact"/>
        <w:ind w:left="0"/>
        <w:jc w:val="left"/>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 xml:space="preserve">   </w:t>
      </w:r>
    </w:p>
    <w:p w14:paraId="2326AAF2">
      <w:pPr>
        <w:pageBreakBefore w:val="0"/>
        <w:kinsoku/>
        <w:wordWrap/>
        <w:overflowPunct/>
        <w:topLinePunct w:val="0"/>
        <w:autoSpaceDE/>
        <w:autoSpaceDN/>
        <w:bidi w:val="0"/>
        <w:adjustRightInd/>
        <w:spacing w:beforeAutospacing="0" w:afterAutospacing="0" w:line="576" w:lineRule="exact"/>
        <w:ind w:left="0"/>
        <w:rPr>
          <w:rFonts w:hint="eastAsia"/>
          <w:lang w:eastAsia="zh-CN"/>
        </w:rPr>
      </w:pPr>
    </w:p>
    <w:p w14:paraId="14F2C5A0">
      <w:pPr>
        <w:rPr>
          <w:rFonts w:hint="eastAsia"/>
          <w:lang w:eastAsia="zh-CN"/>
        </w:rPr>
      </w:pPr>
    </w:p>
    <w:p w14:paraId="3787E834">
      <w:pPr>
        <w:pageBreakBefore w:val="0"/>
        <w:kinsoku/>
        <w:wordWrap/>
        <w:overflowPunct/>
        <w:topLinePunct w:val="0"/>
        <w:autoSpaceDE/>
        <w:autoSpaceDN/>
        <w:bidi w:val="0"/>
        <w:adjustRightInd/>
        <w:spacing w:beforeAutospacing="0" w:afterAutospacing="0" w:line="576" w:lineRule="exact"/>
        <w:ind w:left="0"/>
        <w:jc w:val="center"/>
        <w:rPr>
          <w:rFonts w:ascii="华文中宋" w:hAnsi="华文中宋" w:eastAsia="华文中宋" w:cs="宋体"/>
          <w:b/>
          <w:kern w:val="0"/>
          <w:sz w:val="32"/>
          <w:szCs w:val="32"/>
        </w:rPr>
      </w:pPr>
      <w:r>
        <w:rPr>
          <w:rFonts w:hint="eastAsia" w:ascii="华文中宋" w:hAnsi="华文中宋" w:eastAsia="华文中宋" w:cs="宋体"/>
          <w:b/>
          <w:kern w:val="0"/>
          <w:sz w:val="32"/>
          <w:szCs w:val="32"/>
        </w:rPr>
        <w:t>工程资金</w:t>
      </w:r>
      <w:r>
        <w:rPr>
          <w:rFonts w:hint="eastAsia" w:ascii="华文中宋" w:hAnsi="华文中宋" w:eastAsia="华文中宋" w:cs="宋体"/>
          <w:b/>
          <w:kern w:val="0"/>
          <w:sz w:val="32"/>
          <w:szCs w:val="32"/>
          <w:lang w:eastAsia="zh-CN"/>
        </w:rPr>
        <w:t>共</w:t>
      </w:r>
      <w:r>
        <w:rPr>
          <w:rFonts w:hint="eastAsia" w:ascii="华文中宋" w:hAnsi="华文中宋" w:eastAsia="华文中宋" w:cs="宋体"/>
          <w:b/>
          <w:kern w:val="0"/>
          <w:sz w:val="32"/>
          <w:szCs w:val="32"/>
        </w:rPr>
        <w:t>管协议</w:t>
      </w:r>
    </w:p>
    <w:p w14:paraId="699F89F2">
      <w:pPr>
        <w:pageBreakBefore w:val="0"/>
        <w:kinsoku/>
        <w:wordWrap/>
        <w:overflowPunct/>
        <w:topLinePunct w:val="0"/>
        <w:autoSpaceDE/>
        <w:autoSpaceDN/>
        <w:bidi w:val="0"/>
        <w:adjustRightInd/>
        <w:snapToGrid w:val="0"/>
        <w:spacing w:beforeAutospacing="0" w:afterAutospacing="0" w:line="576" w:lineRule="exact"/>
        <w:ind w:left="0"/>
        <w:rPr>
          <w:rFonts w:ascii="华文仿宋" w:hAnsi="华文仿宋" w:eastAsia="华文仿宋"/>
          <w:b/>
          <w:bCs/>
          <w:sz w:val="28"/>
          <w:szCs w:val="28"/>
        </w:rPr>
      </w:pPr>
      <w:bookmarkStart w:id="0" w:name="_Hlk60124056"/>
    </w:p>
    <w:bookmarkEnd w:id="0"/>
    <w:tbl>
      <w:tblPr>
        <w:tblStyle w:val="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5"/>
      </w:tblGrid>
      <w:tr w14:paraId="5377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8075" w:type="dxa"/>
          </w:tcPr>
          <w:p w14:paraId="3B2CD38E">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b/>
                <w:bCs/>
                <w:color w:val="000000"/>
                <w:kern w:val="0"/>
                <w:sz w:val="24"/>
              </w:rPr>
              <w:t>发包人（甲方）：</w:t>
            </w:r>
            <w:r>
              <w:rPr>
                <w:rFonts w:hint="eastAsia" w:ascii="宋体" w:hAnsi="宋体" w:cs="宋体"/>
                <w:b/>
                <w:bCs/>
                <w:color w:val="000000"/>
                <w:kern w:val="0"/>
                <w:sz w:val="24"/>
                <w:u w:val="single"/>
              </w:rPr>
              <w:t xml:space="preserve">                                                 </w:t>
            </w:r>
          </w:p>
          <w:p w14:paraId="75832D94">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kern w:val="0"/>
                <w:sz w:val="24"/>
                <w:u w:val="single"/>
              </w:rPr>
            </w:pPr>
            <w:r>
              <w:rPr>
                <w:rFonts w:hint="eastAsia" w:ascii="宋体" w:hAnsi="宋体" w:cs="宋体"/>
                <w:color w:val="000000"/>
                <w:kern w:val="0"/>
                <w:sz w:val="24"/>
              </w:rPr>
              <w:t>法定代表人/负责人：</w:t>
            </w:r>
            <w:r>
              <w:rPr>
                <w:rFonts w:hint="eastAsia" w:ascii="宋体" w:hAnsi="宋体" w:cs="宋体"/>
                <w:color w:val="000000"/>
                <w:kern w:val="0"/>
                <w:sz w:val="24"/>
                <w:u w:val="single"/>
              </w:rPr>
              <w:t xml:space="preserve">                                              </w:t>
            </w:r>
          </w:p>
          <w:p w14:paraId="189866D7">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通讯地址：</w:t>
            </w:r>
            <w:r>
              <w:rPr>
                <w:rFonts w:hint="eastAsia" w:ascii="宋体" w:hAnsi="宋体" w:cs="宋体"/>
                <w:color w:val="000000"/>
                <w:kern w:val="0"/>
                <w:sz w:val="24"/>
                <w:u w:val="single"/>
              </w:rPr>
              <w:t xml:space="preserve">                                                       </w:t>
            </w:r>
          </w:p>
          <w:p w14:paraId="6E3ABBB8">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联系电话：</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座机号码：</w:t>
            </w:r>
            <w:r>
              <w:rPr>
                <w:rFonts w:hint="eastAsia" w:ascii="宋体" w:hAnsi="宋体" w:cs="宋体"/>
                <w:color w:val="000000"/>
                <w:kern w:val="0"/>
                <w:sz w:val="24"/>
                <w:u w:val="single"/>
              </w:rPr>
              <w:t xml:space="preserve">                       </w:t>
            </w:r>
          </w:p>
          <w:p w14:paraId="41CB6BB8">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电子邮箱：</w:t>
            </w:r>
            <w:r>
              <w:rPr>
                <w:rFonts w:hint="eastAsia" w:ascii="宋体" w:hAnsi="宋体" w:cs="宋体"/>
                <w:color w:val="000000"/>
                <w:kern w:val="0"/>
                <w:sz w:val="24"/>
                <w:u w:val="single"/>
              </w:rPr>
              <w:t xml:space="preserve">                                                       </w:t>
            </w:r>
          </w:p>
          <w:p w14:paraId="3B6497E6">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传真号码：</w:t>
            </w:r>
            <w:r>
              <w:rPr>
                <w:rFonts w:hint="eastAsia" w:ascii="宋体" w:hAnsi="宋体" w:cs="宋体"/>
                <w:color w:val="000000"/>
                <w:kern w:val="0"/>
                <w:sz w:val="24"/>
                <w:u w:val="single"/>
              </w:rPr>
              <w:t xml:space="preserve">                                                       </w:t>
            </w:r>
          </w:p>
        </w:tc>
      </w:tr>
    </w:tbl>
    <w:p w14:paraId="6CD35E89">
      <w:pPr>
        <w:pageBreakBefore w:val="0"/>
        <w:kinsoku/>
        <w:wordWrap/>
        <w:overflowPunct/>
        <w:topLinePunct w:val="0"/>
        <w:autoSpaceDE/>
        <w:autoSpaceDN/>
        <w:bidi w:val="0"/>
        <w:adjustRightInd/>
        <w:spacing w:beforeAutospacing="0" w:afterAutospacing="0" w:line="576" w:lineRule="exact"/>
        <w:ind w:left="0"/>
        <w:jc w:val="center"/>
        <w:rPr>
          <w:rFonts w:ascii="华文中宋" w:hAnsi="华文中宋" w:eastAsia="华文中宋" w:cs="宋体"/>
          <w:b/>
          <w:kern w:val="0"/>
          <w:sz w:val="32"/>
          <w:szCs w:val="32"/>
        </w:rPr>
      </w:pPr>
    </w:p>
    <w:p w14:paraId="3C2C49EE">
      <w:pPr>
        <w:pageBreakBefore w:val="0"/>
        <w:kinsoku/>
        <w:wordWrap/>
        <w:overflowPunct/>
        <w:topLinePunct w:val="0"/>
        <w:autoSpaceDE/>
        <w:autoSpaceDN/>
        <w:bidi w:val="0"/>
        <w:adjustRightInd/>
        <w:snapToGrid w:val="0"/>
        <w:spacing w:beforeAutospacing="0" w:afterAutospacing="0" w:line="576" w:lineRule="exact"/>
        <w:ind w:left="0"/>
        <w:rPr>
          <w:rFonts w:ascii="华文仿宋" w:hAnsi="华文仿宋" w:eastAsia="华文仿宋"/>
          <w:b/>
          <w:bCs/>
          <w:sz w:val="28"/>
          <w:szCs w:val="28"/>
        </w:rPr>
      </w:pPr>
    </w:p>
    <w:tbl>
      <w:tblPr>
        <w:tblStyle w:val="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5"/>
      </w:tblGrid>
      <w:tr w14:paraId="24AC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5" w:type="dxa"/>
          </w:tcPr>
          <w:p w14:paraId="26E1E236">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b/>
                <w:bCs/>
                <w:color w:val="000000"/>
                <w:kern w:val="0"/>
                <w:sz w:val="24"/>
              </w:rPr>
              <w:t>承包人（乙方）：</w:t>
            </w:r>
            <w:r>
              <w:rPr>
                <w:rFonts w:hint="eastAsia" w:ascii="宋体" w:hAnsi="宋体" w:cs="宋体"/>
                <w:b/>
                <w:bCs/>
                <w:color w:val="000000"/>
                <w:kern w:val="0"/>
                <w:sz w:val="24"/>
                <w:u w:val="single"/>
              </w:rPr>
              <w:t xml:space="preserve">                                                </w:t>
            </w:r>
          </w:p>
          <w:p w14:paraId="5889006B">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法定代表人/负责人：</w:t>
            </w:r>
            <w:r>
              <w:rPr>
                <w:rFonts w:hint="eastAsia" w:ascii="宋体" w:hAnsi="宋体" w:cs="宋体"/>
                <w:color w:val="000000"/>
                <w:kern w:val="0"/>
                <w:sz w:val="24"/>
                <w:u w:val="single"/>
              </w:rPr>
              <w:t xml:space="preserve">                                              </w:t>
            </w:r>
          </w:p>
          <w:p w14:paraId="35F1CF03">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通讯地址：</w:t>
            </w:r>
            <w:r>
              <w:rPr>
                <w:rFonts w:hint="eastAsia" w:ascii="宋体" w:hAnsi="宋体" w:cs="宋体"/>
                <w:color w:val="000000"/>
                <w:kern w:val="0"/>
                <w:sz w:val="24"/>
                <w:u w:val="single"/>
              </w:rPr>
              <w:t xml:space="preserve">                                                       </w:t>
            </w:r>
          </w:p>
          <w:p w14:paraId="5785AB56">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联系电话：</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座机号码：</w:t>
            </w:r>
            <w:r>
              <w:rPr>
                <w:rFonts w:hint="eastAsia" w:ascii="宋体" w:hAnsi="宋体" w:cs="宋体"/>
                <w:color w:val="000000"/>
                <w:kern w:val="0"/>
                <w:sz w:val="24"/>
                <w:u w:val="single"/>
              </w:rPr>
              <w:t xml:space="preserve">                       </w:t>
            </w:r>
          </w:p>
          <w:p w14:paraId="0E1837C0">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电子邮箱：</w:t>
            </w:r>
            <w:r>
              <w:rPr>
                <w:rFonts w:hint="eastAsia" w:ascii="宋体" w:hAnsi="宋体" w:cs="宋体"/>
                <w:color w:val="000000"/>
                <w:kern w:val="0"/>
                <w:sz w:val="24"/>
                <w:u w:val="single"/>
              </w:rPr>
              <w:t xml:space="preserve">                                                       </w:t>
            </w:r>
          </w:p>
          <w:p w14:paraId="4FFC0F45">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传真号码：</w:t>
            </w:r>
            <w:r>
              <w:rPr>
                <w:rFonts w:hint="eastAsia" w:ascii="宋体" w:hAnsi="宋体" w:cs="宋体"/>
                <w:color w:val="000000"/>
                <w:kern w:val="0"/>
                <w:sz w:val="24"/>
                <w:u w:val="single"/>
              </w:rPr>
              <w:t xml:space="preserve">                                                       </w:t>
            </w:r>
          </w:p>
        </w:tc>
      </w:tr>
    </w:tbl>
    <w:p w14:paraId="526B3268">
      <w:pPr>
        <w:pageBreakBefore w:val="0"/>
        <w:kinsoku/>
        <w:wordWrap/>
        <w:overflowPunct/>
        <w:topLinePunct w:val="0"/>
        <w:autoSpaceDE/>
        <w:autoSpaceDN/>
        <w:bidi w:val="0"/>
        <w:adjustRightInd/>
        <w:spacing w:beforeAutospacing="0" w:afterAutospacing="0" w:line="576" w:lineRule="exact"/>
        <w:ind w:left="0"/>
        <w:jc w:val="center"/>
        <w:rPr>
          <w:rFonts w:ascii="华文中宋" w:hAnsi="华文中宋" w:eastAsia="华文中宋" w:cs="宋体"/>
          <w:b/>
          <w:kern w:val="0"/>
          <w:sz w:val="32"/>
          <w:szCs w:val="32"/>
        </w:rPr>
      </w:pPr>
    </w:p>
    <w:tbl>
      <w:tblPr>
        <w:tblStyle w:val="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5"/>
      </w:tblGrid>
      <w:tr w14:paraId="38F6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5" w:type="dxa"/>
          </w:tcPr>
          <w:p w14:paraId="7B16B949">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b/>
                <w:bCs/>
                <w:color w:val="000000"/>
                <w:kern w:val="0"/>
                <w:sz w:val="24"/>
              </w:rPr>
              <w:t>经办银行（丙方）：</w:t>
            </w:r>
            <w:r>
              <w:rPr>
                <w:rFonts w:hint="eastAsia" w:ascii="宋体" w:hAnsi="宋体" w:cs="宋体"/>
                <w:b/>
                <w:bCs/>
                <w:color w:val="000000"/>
                <w:kern w:val="0"/>
                <w:sz w:val="24"/>
                <w:u w:val="single"/>
              </w:rPr>
              <w:t xml:space="preserve">                                                </w:t>
            </w:r>
          </w:p>
          <w:p w14:paraId="56714A88">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法定代表人/负责人：</w:t>
            </w:r>
            <w:r>
              <w:rPr>
                <w:rFonts w:hint="eastAsia" w:ascii="宋体" w:hAnsi="宋体" w:cs="宋体"/>
                <w:color w:val="000000"/>
                <w:kern w:val="0"/>
                <w:sz w:val="24"/>
                <w:u w:val="single"/>
              </w:rPr>
              <w:t xml:space="preserve">                                              </w:t>
            </w:r>
          </w:p>
          <w:p w14:paraId="1897FB85">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通讯地址：</w:t>
            </w:r>
            <w:r>
              <w:rPr>
                <w:rFonts w:hint="eastAsia" w:ascii="宋体" w:hAnsi="宋体" w:cs="宋体"/>
                <w:color w:val="000000"/>
                <w:kern w:val="0"/>
                <w:sz w:val="24"/>
                <w:u w:val="single"/>
              </w:rPr>
              <w:t xml:space="preserve">                                                       </w:t>
            </w:r>
          </w:p>
          <w:p w14:paraId="6C26C421">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联系电话：</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座机号码：</w:t>
            </w:r>
            <w:r>
              <w:rPr>
                <w:rFonts w:hint="eastAsia" w:ascii="宋体" w:hAnsi="宋体" w:cs="宋体"/>
                <w:color w:val="000000"/>
                <w:kern w:val="0"/>
                <w:sz w:val="24"/>
                <w:u w:val="single"/>
              </w:rPr>
              <w:t xml:space="preserve">                       </w:t>
            </w:r>
          </w:p>
          <w:p w14:paraId="15C02EC3">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电子邮箱：</w:t>
            </w:r>
            <w:r>
              <w:rPr>
                <w:rFonts w:hint="eastAsia" w:ascii="宋体" w:hAnsi="宋体" w:cs="宋体"/>
                <w:color w:val="000000"/>
                <w:kern w:val="0"/>
                <w:sz w:val="24"/>
                <w:u w:val="single"/>
              </w:rPr>
              <w:t xml:space="preserve">                                                       </w:t>
            </w:r>
          </w:p>
          <w:p w14:paraId="2CF05066">
            <w:pPr>
              <w:pageBreakBefore w:val="0"/>
              <w:tabs>
                <w:tab w:val="left" w:pos="8610"/>
              </w:tabs>
              <w:kinsoku/>
              <w:wordWrap/>
              <w:overflowPunct/>
              <w:topLinePunct w:val="0"/>
              <w:autoSpaceDE/>
              <w:autoSpaceDN/>
              <w:bidi w:val="0"/>
              <w:adjustRightInd/>
              <w:snapToGrid w:val="0"/>
              <w:spacing w:beforeAutospacing="0" w:afterAutospacing="0" w:line="576" w:lineRule="exact"/>
              <w:ind w:left="0"/>
              <w:jc w:val="left"/>
              <w:textAlignment w:val="bottom"/>
              <w:rPr>
                <w:rFonts w:ascii="宋体" w:hAnsi="宋体" w:cs="宋体"/>
                <w:color w:val="000000"/>
                <w:kern w:val="0"/>
                <w:sz w:val="24"/>
              </w:rPr>
            </w:pPr>
            <w:r>
              <w:rPr>
                <w:rFonts w:hint="eastAsia" w:ascii="宋体" w:hAnsi="宋体" w:cs="宋体"/>
                <w:color w:val="000000"/>
                <w:kern w:val="0"/>
                <w:sz w:val="24"/>
              </w:rPr>
              <w:t>传真号码：</w:t>
            </w:r>
            <w:r>
              <w:rPr>
                <w:rFonts w:hint="eastAsia" w:ascii="宋体" w:hAnsi="宋体" w:cs="宋体"/>
                <w:color w:val="000000"/>
                <w:kern w:val="0"/>
                <w:sz w:val="24"/>
                <w:u w:val="single"/>
              </w:rPr>
              <w:t xml:space="preserve">                                                       </w:t>
            </w:r>
          </w:p>
        </w:tc>
      </w:tr>
    </w:tbl>
    <w:p w14:paraId="168A29A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为了促</w:t>
      </w:r>
      <w:r>
        <w:rPr>
          <w:rFonts w:hint="eastAsia" w:ascii="仿宋_GB2312" w:hAnsi="仿宋_GB2312" w:eastAsia="仿宋_GB2312" w:cs="仿宋_GB2312"/>
          <w:sz w:val="30"/>
          <w:szCs w:val="30"/>
          <w:lang w:eastAsia="zh-CN"/>
        </w:rPr>
        <w:t>进</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工程的顺利实施，管好用好建设资金，确保工程资金专款专用，同时为承包人提供便捷有效的银行业务服务，根据有关法律法规及本项目合同条款等有关规定，经甲乙丙三方协商，本着自愿、平等、负责的原则，达成协议如下：</w:t>
      </w:r>
    </w:p>
    <w:p w14:paraId="7A216488">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02" w:firstLineChars="200"/>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1.资金管理的内容</w:t>
      </w:r>
    </w:p>
    <w:p w14:paraId="31DB2DB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（1）乙方为</w:t>
      </w:r>
      <w:r>
        <w:rPr>
          <w:rFonts w:hint="eastAsia" w:ascii="仿宋_GB2312" w:hAnsi="仿宋_GB2312" w:eastAsia="仿宋_GB2312" w:cs="仿宋_GB2312"/>
          <w:sz w:val="30"/>
          <w:szCs w:val="30"/>
          <w:lang w:eastAsia="zh-CN"/>
        </w:rPr>
        <w:t>完成</w:t>
      </w:r>
      <w:r>
        <w:rPr>
          <w:rFonts w:hint="eastAsia" w:ascii="仿宋_GB2312" w:hAnsi="仿宋_GB2312" w:eastAsia="仿宋_GB2312" w:cs="仿宋_GB2312"/>
          <w:sz w:val="30"/>
          <w:szCs w:val="30"/>
          <w:u w:val="single"/>
          <w:lang w:val="en-US" w:eastAsia="zh-CN"/>
        </w:rPr>
        <w:t xml:space="preserve">   （项目名称）    </w:t>
      </w:r>
      <w:r>
        <w:rPr>
          <w:rFonts w:hint="eastAsia" w:ascii="仿宋_GB2312" w:hAnsi="仿宋_GB2312" w:eastAsia="仿宋_GB2312" w:cs="仿宋_GB2312"/>
          <w:sz w:val="30"/>
          <w:szCs w:val="30"/>
        </w:rPr>
        <w:t>在丙方</w:t>
      </w:r>
      <w:r>
        <w:rPr>
          <w:rFonts w:hint="eastAsia" w:ascii="仿宋_GB2312" w:hAnsi="仿宋_GB2312" w:eastAsia="仿宋_GB2312" w:cs="仿宋_GB2312"/>
          <w:sz w:val="30"/>
          <w:szCs w:val="30"/>
          <w:lang w:eastAsia="zh-CN"/>
        </w:rPr>
        <w:t>受甲方委托</w:t>
      </w:r>
      <w:r>
        <w:rPr>
          <w:rFonts w:hint="eastAsia" w:ascii="仿宋_GB2312" w:hAnsi="仿宋_GB2312" w:eastAsia="仿宋_GB2312" w:cs="仿宋_GB2312"/>
          <w:sz w:val="30"/>
          <w:szCs w:val="30"/>
        </w:rPr>
        <w:t>开设</w:t>
      </w:r>
      <w:r>
        <w:rPr>
          <w:rFonts w:hint="eastAsia" w:ascii="仿宋_GB2312" w:hAnsi="仿宋_GB2312" w:eastAsia="仿宋_GB2312" w:cs="仿宋_GB2312"/>
          <w:sz w:val="30"/>
          <w:szCs w:val="30"/>
          <w:lang w:eastAsia="zh-CN"/>
        </w:rPr>
        <w:t>共管</w:t>
      </w:r>
      <w:r>
        <w:rPr>
          <w:rFonts w:hint="eastAsia" w:ascii="仿宋_GB2312" w:hAnsi="仿宋_GB2312" w:eastAsia="仿宋_GB2312" w:cs="仿宋_GB2312"/>
          <w:sz w:val="30"/>
          <w:szCs w:val="30"/>
        </w:rPr>
        <w:t>账户；</w:t>
      </w:r>
    </w:p>
    <w:p w14:paraId="179A8A5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（2）甲方应按合同规定将工程款（农民工工资除外）汇入乙方在丙方开设的账户；</w:t>
      </w:r>
    </w:p>
    <w:p w14:paraId="6826BAB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（3）乙方应将甲方所拨付资金专项用于</w:t>
      </w:r>
      <w:r>
        <w:rPr>
          <w:rFonts w:hint="eastAsia" w:ascii="仿宋_GB2312" w:hAnsi="仿宋_GB2312" w:eastAsia="仿宋_GB2312" w:cs="仿宋_GB2312"/>
          <w:sz w:val="30"/>
          <w:szCs w:val="30"/>
          <w:u w:val="single"/>
          <w:lang w:val="en-US" w:eastAsia="zh-CN"/>
        </w:rPr>
        <w:t xml:space="preserve">   （项目名称）    </w:t>
      </w:r>
      <w:r>
        <w:rPr>
          <w:rFonts w:hint="eastAsia" w:ascii="仿宋_GB2312" w:hAnsi="仿宋_GB2312" w:eastAsia="仿宋_GB2312" w:cs="仿宋_GB2312"/>
          <w:sz w:val="30"/>
          <w:szCs w:val="30"/>
        </w:rPr>
        <w:t>；</w:t>
      </w:r>
    </w:p>
    <w:p w14:paraId="4495518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（4）丙方应为乙方提供便捷有效的银行业务服务，并接受甲方委托对乙方在丙方开设的结算账户资金使用情况进行监督。</w:t>
      </w:r>
    </w:p>
    <w:p w14:paraId="7E8B326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2.甲方的权责</w:t>
      </w:r>
    </w:p>
    <w:p w14:paraId="427F6C2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（1）按照</w:t>
      </w:r>
      <w:r>
        <w:rPr>
          <w:rFonts w:hint="eastAsia" w:ascii="仿宋_GB2312" w:hAnsi="仿宋_GB2312" w:eastAsia="仿宋_GB2312" w:cs="仿宋_GB2312"/>
          <w:sz w:val="30"/>
          <w:szCs w:val="30"/>
          <w:u w:val="single"/>
          <w:lang w:val="en-US" w:eastAsia="zh-CN"/>
        </w:rPr>
        <w:t xml:space="preserve">   （项目名称）    </w:t>
      </w:r>
      <w:r>
        <w:rPr>
          <w:rFonts w:hint="eastAsia" w:ascii="仿宋_GB2312" w:hAnsi="仿宋_GB2312" w:eastAsia="仿宋_GB2312" w:cs="仿宋_GB2312"/>
          <w:sz w:val="30"/>
          <w:szCs w:val="30"/>
        </w:rPr>
        <w:t>合同有关条款规定的时间和方式，向乙方支付工程款；</w:t>
      </w:r>
    </w:p>
    <w:p w14:paraId="0A04D563">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定期或不定期检查乙方资金情况，在发现乙方将本项目资金外借、挪用、转移，通过权益转让、抵押、担保承担债务等任何其他方式使用结算户的资金时同，甲方有权中止工程款支付，直至乙方将款项转回至结算账户上；</w:t>
      </w:r>
    </w:p>
    <w:p w14:paraId="614D8BC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（3）定期或不定期审查丙方对乙方的资金使用监督情况。如丙方不能按本协议第4条权责履行其责任，甲方有权随时终止本协议。</w:t>
      </w:r>
    </w:p>
    <w:p w14:paraId="7774AA0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（4）在乙、丙双方因资金使用发生争议时，甲方应负责协调、解决。</w:t>
      </w:r>
    </w:p>
    <w:p w14:paraId="28E8307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3.乙方的权责</w:t>
      </w:r>
    </w:p>
    <w:p w14:paraId="2C855303">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（1）项目经理部成立以后，乙方应尽快在丙方按甲方要求开设</w:t>
      </w:r>
      <w:r>
        <w:rPr>
          <w:rFonts w:hint="eastAsia" w:ascii="仿宋_GB2312" w:hAnsi="仿宋_GB2312" w:eastAsia="仿宋_GB2312" w:cs="仿宋_GB2312"/>
          <w:sz w:val="30"/>
          <w:szCs w:val="30"/>
          <w:lang w:eastAsia="zh-CN"/>
        </w:rPr>
        <w:t>共管</w:t>
      </w:r>
      <w:r>
        <w:rPr>
          <w:rFonts w:hint="eastAsia" w:ascii="仿宋_GB2312" w:hAnsi="仿宋_GB2312" w:eastAsia="仿宋_GB2312" w:cs="仿宋_GB2312"/>
          <w:sz w:val="30"/>
          <w:szCs w:val="30"/>
        </w:rPr>
        <w:t>账户；</w:t>
      </w:r>
    </w:p>
    <w:p w14:paraId="07874EA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（2）确保本项目资金专款专用，不发生外借、挪用、转移资金的现象；保证不通过权益转让、抵押、担保承担债务等任何其他方式使用</w:t>
      </w:r>
      <w:r>
        <w:rPr>
          <w:rFonts w:hint="eastAsia" w:ascii="仿宋_GB2312" w:hAnsi="仿宋_GB2312" w:eastAsia="仿宋_GB2312" w:cs="仿宋_GB2312"/>
          <w:sz w:val="30"/>
          <w:szCs w:val="30"/>
          <w:lang w:eastAsia="zh-CN"/>
        </w:rPr>
        <w:t>共管账</w:t>
      </w:r>
      <w:r>
        <w:rPr>
          <w:rFonts w:hint="eastAsia" w:ascii="仿宋_GB2312" w:hAnsi="仿宋_GB2312" w:eastAsia="仿宋_GB2312" w:cs="仿宋_GB2312"/>
          <w:sz w:val="30"/>
          <w:szCs w:val="30"/>
        </w:rPr>
        <w:t>户的资金；</w:t>
      </w:r>
    </w:p>
    <w:p w14:paraId="368AA73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（3）凡乙方从本项目</w:t>
      </w:r>
      <w:r>
        <w:rPr>
          <w:rFonts w:hint="eastAsia" w:ascii="仿宋_GB2312" w:hAnsi="仿宋_GB2312" w:eastAsia="仿宋_GB2312" w:cs="仿宋_GB2312"/>
          <w:sz w:val="30"/>
          <w:szCs w:val="30"/>
          <w:lang w:eastAsia="zh-CN"/>
        </w:rPr>
        <w:t>共管账户</w:t>
      </w:r>
      <w:r>
        <w:rPr>
          <w:rFonts w:hint="eastAsia" w:ascii="仿宋_GB2312" w:hAnsi="仿宋_GB2312" w:eastAsia="仿宋_GB2312" w:cs="仿宋_GB2312"/>
          <w:sz w:val="30"/>
          <w:szCs w:val="30"/>
        </w:rPr>
        <w:t>中汇出</w:t>
      </w:r>
      <w:r>
        <w:rPr>
          <w:rFonts w:hint="eastAsia" w:ascii="仿宋_GB2312" w:hAnsi="仿宋_GB2312" w:eastAsia="仿宋_GB2312" w:cs="仿宋_GB2312"/>
          <w:sz w:val="30"/>
          <w:szCs w:val="30"/>
          <w:lang w:eastAsia="zh-CN"/>
        </w:rPr>
        <w:t>资金</w:t>
      </w:r>
      <w:r>
        <w:rPr>
          <w:rFonts w:hint="eastAsia" w:ascii="仿宋_GB2312" w:hAnsi="仿宋_GB2312" w:eastAsia="仿宋_GB2312" w:cs="仿宋_GB2312"/>
          <w:sz w:val="30"/>
          <w:szCs w:val="30"/>
        </w:rPr>
        <w:t>，应向</w:t>
      </w:r>
      <w:r>
        <w:rPr>
          <w:rFonts w:hint="eastAsia" w:ascii="仿宋_GB2312" w:hAnsi="仿宋_GB2312" w:eastAsia="仿宋_GB2312" w:cs="仿宋_GB2312"/>
          <w:sz w:val="30"/>
          <w:szCs w:val="30"/>
          <w:lang w:eastAsia="zh-CN"/>
        </w:rPr>
        <w:t>甲方</w:t>
      </w:r>
      <w:r>
        <w:rPr>
          <w:rFonts w:hint="eastAsia" w:ascii="仿宋_GB2312" w:hAnsi="仿宋_GB2312" w:eastAsia="仿宋_GB2312" w:cs="仿宋_GB2312"/>
          <w:sz w:val="30"/>
          <w:szCs w:val="30"/>
        </w:rPr>
        <w:t>提交支付申请报告，并附相关证明材料，如工程进度报告（需监理单位盖章）、发票、合同等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经甲方书面同意后，方可将送交丙方；</w:t>
      </w:r>
    </w:p>
    <w:p w14:paraId="28CE91D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）用银行转账支付办理支付款项时，必须将转账支票送交丙方，由丙方负责办理转付手续；</w:t>
      </w:r>
    </w:p>
    <w:p w14:paraId="455C740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）向分包单位支付工程进度款时，应附批准的分包文件和经监理人确认的支付文件复印件；</w:t>
      </w:r>
    </w:p>
    <w:p w14:paraId="7CB608E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）向上级单位缴纳管理费、机械设备及周转材料租赁摊销费用等项时，应先经甲方批准，并附上级单位出具的转账通知等有关资料，以确保资金专款专用。</w:t>
      </w:r>
    </w:p>
    <w:p w14:paraId="540F548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）提取备用金的限额由项目部向甲方申报，由甲方结合实际情况审核。</w:t>
      </w:r>
    </w:p>
    <w:p w14:paraId="6B65A88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4.丙方的权责</w:t>
      </w:r>
    </w:p>
    <w:p w14:paraId="36C5F9B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（1）成立</w:t>
      </w:r>
      <w:r>
        <w:rPr>
          <w:rFonts w:hint="eastAsia" w:ascii="仿宋_GB2312" w:hAnsi="仿宋_GB2312" w:eastAsia="仿宋_GB2312" w:cs="仿宋_GB2312"/>
          <w:sz w:val="30"/>
          <w:szCs w:val="30"/>
          <w:u w:val="single"/>
          <w:lang w:val="en-US" w:eastAsia="zh-CN"/>
        </w:rPr>
        <w:t xml:space="preserve">   （项目名称）    </w:t>
      </w:r>
      <w:r>
        <w:rPr>
          <w:rFonts w:hint="eastAsia" w:ascii="仿宋_GB2312" w:hAnsi="仿宋_GB2312" w:eastAsia="仿宋_GB2312" w:cs="仿宋_GB2312"/>
          <w:sz w:val="30"/>
          <w:szCs w:val="30"/>
        </w:rPr>
        <w:t>资金管理服务小组，明确业务流程，提高工作效率，杜绝“压票”现象；</w:t>
      </w:r>
    </w:p>
    <w:p w14:paraId="752B852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（2）根据乙方提供的购货合同、协议和发票，检查其所购材料、设备是否用于</w:t>
      </w:r>
      <w:r>
        <w:rPr>
          <w:rFonts w:hint="eastAsia" w:ascii="仿宋_GB2312" w:hAnsi="仿宋_GB2312" w:eastAsia="仿宋_GB2312" w:cs="仿宋_GB2312"/>
          <w:sz w:val="30"/>
          <w:szCs w:val="30"/>
          <w:u w:val="single"/>
          <w:lang w:val="en-US" w:eastAsia="zh-CN"/>
        </w:rPr>
        <w:t xml:space="preserve">   （项目名称）    </w:t>
      </w:r>
      <w:r>
        <w:rPr>
          <w:rFonts w:hint="eastAsia" w:ascii="仿宋_GB2312" w:hAnsi="仿宋_GB2312" w:eastAsia="仿宋_GB2312" w:cs="仿宋_GB2312"/>
          <w:sz w:val="30"/>
          <w:szCs w:val="30"/>
        </w:rPr>
        <w:t>、并按本协议第3条相关流程对乙方的支付申请进行审查，对本合同段以外的购货款项，应拒绝办理，并及时报告甲方；</w:t>
      </w:r>
    </w:p>
    <w:p w14:paraId="5D80B4F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（3）根据乙方与分包单位签订的合同、支付文件、甲方批准意见，检查其支付款项是否符合有关条件，向分包单位以外的单位支付，应拒绝办理，并及时报告甲方；</w:t>
      </w:r>
    </w:p>
    <w:p w14:paraId="2A815556">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（4）根据乙方提供的上级单位出具的转账通知等有关资料及甲方批准意见，办理管理费、机械设备及周转材料租赁摊销等款项的支付；对超出转账通知等有关资料以外的支付，应拒绝办理，并及时报告甲方；</w:t>
      </w:r>
    </w:p>
    <w:p w14:paraId="53EE94A3">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（5）定期将乙方的支付情况，整理后书面报送甲方，同时乙方复印备案的材料一并送甲方。</w:t>
      </w:r>
    </w:p>
    <w:p w14:paraId="44625C6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sz w:val="30"/>
          <w:szCs w:val="30"/>
        </w:rPr>
        <w:t>甲、乙、丙三方都应履行保密责任，不得将其他两方的业务情况透露给三方以外的其他单位或个人。</w:t>
      </w:r>
    </w:p>
    <w:p w14:paraId="3478778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6.</w:t>
      </w:r>
      <w:r>
        <w:rPr>
          <w:rFonts w:hint="eastAsia" w:ascii="仿宋_GB2312" w:hAnsi="仿宋_GB2312" w:eastAsia="仿宋_GB2312" w:cs="仿宋_GB2312"/>
          <w:sz w:val="30"/>
          <w:szCs w:val="30"/>
        </w:rPr>
        <w:t>本协议有效期自乙方在丙方开户起，至工程</w:t>
      </w:r>
      <w:r>
        <w:rPr>
          <w:rFonts w:hint="eastAsia" w:ascii="仿宋_GB2312" w:hAnsi="仿宋_GB2312" w:eastAsia="仿宋_GB2312" w:cs="仿宋_GB2312"/>
          <w:sz w:val="30"/>
          <w:szCs w:val="30"/>
          <w:lang w:eastAsia="zh-CN"/>
        </w:rPr>
        <w:t>结算</w:t>
      </w:r>
      <w:r>
        <w:rPr>
          <w:rFonts w:hint="eastAsia" w:ascii="仿宋_GB2312" w:hAnsi="仿宋_GB2312" w:eastAsia="仿宋_GB2312" w:cs="仿宋_GB2312"/>
          <w:sz w:val="30"/>
          <w:szCs w:val="30"/>
        </w:rPr>
        <w:t>后结束。</w:t>
      </w:r>
    </w:p>
    <w:p w14:paraId="3819236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7.</w:t>
      </w: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eastAsia="zh-CN"/>
        </w:rPr>
        <w:t>共管</w:t>
      </w:r>
      <w:r>
        <w:rPr>
          <w:rFonts w:hint="eastAsia" w:ascii="仿宋_GB2312" w:hAnsi="仿宋_GB2312" w:eastAsia="仿宋_GB2312" w:cs="仿宋_GB2312"/>
          <w:sz w:val="30"/>
          <w:szCs w:val="30"/>
        </w:rPr>
        <w:t>资金来源的合法性及该专用资金账户中的资金被有权机关冻结或划扣，对由此产后的后果丙方不承担任何义务和责任，丙方的责任仅以本协议第4条约定的专用资金账户资金监管责任为限。</w:t>
      </w:r>
    </w:p>
    <w:p w14:paraId="678C21D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8.</w:t>
      </w:r>
      <w:r>
        <w:rPr>
          <w:rFonts w:hint="eastAsia" w:ascii="仿宋_GB2312" w:hAnsi="仿宋_GB2312" w:eastAsia="仿宋_GB2312" w:cs="仿宋_GB2312"/>
          <w:sz w:val="30"/>
          <w:szCs w:val="30"/>
        </w:rPr>
        <w:t>本业务属无偿服务。</w:t>
      </w:r>
    </w:p>
    <w:p w14:paraId="0E1EA25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9.</w:t>
      </w:r>
      <w:r>
        <w:rPr>
          <w:rFonts w:hint="eastAsia" w:ascii="仿宋_GB2312" w:hAnsi="仿宋_GB2312" w:eastAsia="仿宋_GB2312" w:cs="仿宋_GB2312"/>
          <w:sz w:val="30"/>
          <w:szCs w:val="30"/>
        </w:rPr>
        <w:t>本协议未尽事宜，由甲方牵头，三方协商解决。</w:t>
      </w:r>
    </w:p>
    <w:p w14:paraId="6FEFA89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10.</w:t>
      </w:r>
      <w:r>
        <w:rPr>
          <w:rFonts w:hint="eastAsia" w:ascii="仿宋_GB2312" w:hAnsi="仿宋_GB2312" w:eastAsia="仿宋_GB2312" w:cs="仿宋_GB2312"/>
          <w:sz w:val="30"/>
          <w:szCs w:val="30"/>
        </w:rPr>
        <w:t>本协议正本三份、副本十二份。合同三方各执正本一份（具有同等法律效力）、副本四份，当正本与副本内容不一致时，以正本为准。</w:t>
      </w:r>
    </w:p>
    <w:p w14:paraId="1E9D4CE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p>
    <w:p w14:paraId="6E5C799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00"/>
        <w:textAlignment w:val="auto"/>
        <w:rPr>
          <w:rFonts w:hint="eastAsia" w:ascii="仿宋_GB2312" w:hAnsi="仿宋_GB2312" w:eastAsia="仿宋_GB2312" w:cs="仿宋_GB2312"/>
          <w:sz w:val="30"/>
          <w:szCs w:val="30"/>
        </w:rPr>
      </w:pPr>
    </w:p>
    <w:p w14:paraId="688B4CF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发包人：</w:t>
      </w:r>
      <w:r>
        <w:rPr>
          <w:rFonts w:hint="eastAsia" w:ascii="仿宋_GB2312" w:hAnsi="仿宋_GB2312" w:eastAsia="仿宋_GB2312" w:cs="仿宋_GB2312"/>
          <w:sz w:val="30"/>
          <w:szCs w:val="30"/>
          <w:u w:val="single"/>
        </w:rPr>
        <w:t>（单位全称）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法定代表人或其委托代理人：</w:t>
      </w:r>
    </w:p>
    <w:p w14:paraId="584395A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4200" w:firstLineChars="14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14:paraId="4F77950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5400" w:firstLineChars="18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11EC328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textAlignment w:val="auto"/>
        <w:rPr>
          <w:rFonts w:hint="eastAsia" w:ascii="仿宋_GB2312" w:hAnsi="仿宋_GB2312" w:eastAsia="仿宋_GB2312" w:cs="仿宋_GB2312"/>
          <w:sz w:val="30"/>
          <w:szCs w:val="30"/>
        </w:rPr>
      </w:pPr>
    </w:p>
    <w:p w14:paraId="398B161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textAlignment w:val="auto"/>
        <w:rPr>
          <w:rFonts w:hint="eastAsia" w:ascii="仿宋_GB2312" w:hAnsi="仿宋_GB2312" w:eastAsia="仿宋_GB2312" w:cs="仿宋_GB2312"/>
          <w:sz w:val="30"/>
          <w:szCs w:val="30"/>
        </w:rPr>
      </w:pPr>
    </w:p>
    <w:p w14:paraId="185AA77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承包人：</w:t>
      </w:r>
      <w:r>
        <w:rPr>
          <w:rFonts w:hint="eastAsia" w:ascii="仿宋_GB2312" w:hAnsi="仿宋_GB2312" w:eastAsia="仿宋_GB2312" w:cs="仿宋_GB2312"/>
          <w:sz w:val="30"/>
          <w:szCs w:val="30"/>
          <w:u w:val="single"/>
        </w:rPr>
        <w:t>（单位全称）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   </w:t>
      </w: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p>
    <w:p w14:paraId="6A96DF30">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14:paraId="45FD049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1350" w:firstLineChars="4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383A007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16E5890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textAlignment w:val="auto"/>
        <w:rPr>
          <w:rFonts w:hint="eastAsia" w:ascii="仿宋_GB2312" w:hAnsi="仿宋_GB2312" w:eastAsia="仿宋_GB2312" w:cs="仿宋_GB2312"/>
          <w:sz w:val="30"/>
          <w:szCs w:val="30"/>
        </w:rPr>
      </w:pPr>
    </w:p>
    <w:p w14:paraId="0B8864C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经办银行：</w:t>
      </w:r>
      <w:r>
        <w:rPr>
          <w:rFonts w:hint="eastAsia" w:ascii="仿宋_GB2312" w:hAnsi="仿宋_GB2312" w:eastAsia="仿宋_GB2312" w:cs="仿宋_GB2312"/>
          <w:sz w:val="30"/>
          <w:szCs w:val="30"/>
          <w:u w:val="single"/>
        </w:rPr>
        <w:t>（银行全称）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     </w:t>
      </w:r>
      <w:r>
        <w:rPr>
          <w:rFonts w:hint="eastAsia" w:ascii="仿宋_GB2312" w:hAnsi="仿宋_GB2312" w:eastAsia="仿宋_GB2312" w:cs="仿宋_GB2312"/>
          <w:sz w:val="30"/>
          <w:szCs w:val="30"/>
        </w:rPr>
        <w:t>负责人或其授权代表：</w:t>
      </w:r>
    </w:p>
    <w:p w14:paraId="2907E4E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4200" w:firstLineChars="14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（签字）</w:t>
      </w:r>
      <w:r>
        <w:rPr>
          <w:rFonts w:hint="eastAsia" w:ascii="仿宋_GB2312" w:hAnsi="仿宋_GB2312" w:eastAsia="仿宋_GB2312" w:cs="仿宋_GB2312"/>
          <w:sz w:val="30"/>
          <w:szCs w:val="30"/>
          <w:u w:val="single"/>
        </w:rPr>
        <w:t xml:space="preserve">           </w:t>
      </w:r>
    </w:p>
    <w:p w14:paraId="3D4CF696">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3255" w:firstLineChars="1085"/>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5AD2A25A">
      <w:pPr>
        <w:pStyle w:val="2"/>
        <w:pageBreakBefore w:val="0"/>
        <w:kinsoku/>
        <w:wordWrap/>
        <w:overflowPunct/>
        <w:topLinePunct w:val="0"/>
        <w:autoSpaceDE/>
        <w:autoSpaceDN/>
        <w:bidi w:val="0"/>
        <w:adjustRightInd/>
        <w:spacing w:before="0" w:beforeLines="0" w:beforeAutospacing="0" w:after="0" w:afterLines="0" w:afterAutospacing="0" w:line="576" w:lineRule="exact"/>
        <w:ind w:left="0"/>
        <w:rPr>
          <w:rFonts w:hint="eastAsia"/>
        </w:rPr>
      </w:pPr>
    </w:p>
    <w:sectPr>
      <w:footerReference r:id="rId3" w:type="default"/>
      <w:pgSz w:w="11906" w:h="16838"/>
      <w:pgMar w:top="1304" w:right="1531" w:bottom="130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C0B4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0EF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5620EF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97E01"/>
    <w:rsid w:val="00704336"/>
    <w:rsid w:val="00F31A6F"/>
    <w:rsid w:val="019B2DA5"/>
    <w:rsid w:val="01AD5116"/>
    <w:rsid w:val="02B30FF2"/>
    <w:rsid w:val="03795BF7"/>
    <w:rsid w:val="03942A31"/>
    <w:rsid w:val="03BB6FC4"/>
    <w:rsid w:val="03E838E7"/>
    <w:rsid w:val="052E47BF"/>
    <w:rsid w:val="05506E7F"/>
    <w:rsid w:val="070D208A"/>
    <w:rsid w:val="08D062B9"/>
    <w:rsid w:val="0AD16319"/>
    <w:rsid w:val="0ADD081A"/>
    <w:rsid w:val="0BF3553F"/>
    <w:rsid w:val="0C4843B9"/>
    <w:rsid w:val="0CA42951"/>
    <w:rsid w:val="0D6214AA"/>
    <w:rsid w:val="0F0E18EA"/>
    <w:rsid w:val="134358DA"/>
    <w:rsid w:val="134F35CA"/>
    <w:rsid w:val="147368B8"/>
    <w:rsid w:val="15A9411A"/>
    <w:rsid w:val="15E9117A"/>
    <w:rsid w:val="166F0F84"/>
    <w:rsid w:val="1743234C"/>
    <w:rsid w:val="18246888"/>
    <w:rsid w:val="183D1925"/>
    <w:rsid w:val="18BF3C55"/>
    <w:rsid w:val="19CE05F3"/>
    <w:rsid w:val="19E6388F"/>
    <w:rsid w:val="1B552876"/>
    <w:rsid w:val="1CF57C45"/>
    <w:rsid w:val="1D8B05A9"/>
    <w:rsid w:val="1DC62969"/>
    <w:rsid w:val="1E7352C5"/>
    <w:rsid w:val="1EFF2C30"/>
    <w:rsid w:val="1F941CFD"/>
    <w:rsid w:val="1FCB94DA"/>
    <w:rsid w:val="20397E01"/>
    <w:rsid w:val="20E24984"/>
    <w:rsid w:val="22BA07B1"/>
    <w:rsid w:val="23810484"/>
    <w:rsid w:val="25001B3E"/>
    <w:rsid w:val="262B46D7"/>
    <w:rsid w:val="27D1F985"/>
    <w:rsid w:val="2A4B2B94"/>
    <w:rsid w:val="2AC944BF"/>
    <w:rsid w:val="2B0971E3"/>
    <w:rsid w:val="2C3F0EDD"/>
    <w:rsid w:val="2F8F5A63"/>
    <w:rsid w:val="2FD1C3BF"/>
    <w:rsid w:val="2FE9FD20"/>
    <w:rsid w:val="30C47C02"/>
    <w:rsid w:val="3260395B"/>
    <w:rsid w:val="33F42D4E"/>
    <w:rsid w:val="33F95E15"/>
    <w:rsid w:val="34FB7D5B"/>
    <w:rsid w:val="35072585"/>
    <w:rsid w:val="35A149B6"/>
    <w:rsid w:val="36073CCE"/>
    <w:rsid w:val="36107446"/>
    <w:rsid w:val="375A43FF"/>
    <w:rsid w:val="37FD6899"/>
    <w:rsid w:val="387B0479"/>
    <w:rsid w:val="39030EF3"/>
    <w:rsid w:val="399FF72D"/>
    <w:rsid w:val="3A72247D"/>
    <w:rsid w:val="3CCA65A0"/>
    <w:rsid w:val="3EA7C86F"/>
    <w:rsid w:val="3FF81676"/>
    <w:rsid w:val="40B57568"/>
    <w:rsid w:val="419B49AF"/>
    <w:rsid w:val="42E7097D"/>
    <w:rsid w:val="44592057"/>
    <w:rsid w:val="45C142B9"/>
    <w:rsid w:val="475E1214"/>
    <w:rsid w:val="48680977"/>
    <w:rsid w:val="4A315EB1"/>
    <w:rsid w:val="4B6D8956"/>
    <w:rsid w:val="4C8229F4"/>
    <w:rsid w:val="4CE47081"/>
    <w:rsid w:val="4DCB2178"/>
    <w:rsid w:val="4F363F69"/>
    <w:rsid w:val="4FDF8922"/>
    <w:rsid w:val="4FE7C5B4"/>
    <w:rsid w:val="50033E4B"/>
    <w:rsid w:val="5077417F"/>
    <w:rsid w:val="52C35B14"/>
    <w:rsid w:val="52EF06B7"/>
    <w:rsid w:val="53654E1D"/>
    <w:rsid w:val="54497D6E"/>
    <w:rsid w:val="546D79FE"/>
    <w:rsid w:val="547B7BEB"/>
    <w:rsid w:val="555C55B4"/>
    <w:rsid w:val="56170651"/>
    <w:rsid w:val="57647D46"/>
    <w:rsid w:val="57C55747"/>
    <w:rsid w:val="57DF7C12"/>
    <w:rsid w:val="59DB5082"/>
    <w:rsid w:val="5A571EEC"/>
    <w:rsid w:val="5AD42C84"/>
    <w:rsid w:val="5D2122C4"/>
    <w:rsid w:val="5F686A40"/>
    <w:rsid w:val="5F9CD19B"/>
    <w:rsid w:val="5F9F0EFC"/>
    <w:rsid w:val="5FF7437C"/>
    <w:rsid w:val="5FFFADF4"/>
    <w:rsid w:val="638135AD"/>
    <w:rsid w:val="63DF02D4"/>
    <w:rsid w:val="660202AA"/>
    <w:rsid w:val="66124991"/>
    <w:rsid w:val="677F5CB5"/>
    <w:rsid w:val="67E40C9E"/>
    <w:rsid w:val="68447EF6"/>
    <w:rsid w:val="68F14745"/>
    <w:rsid w:val="69F04FE9"/>
    <w:rsid w:val="6A1324D3"/>
    <w:rsid w:val="6B1B7E43"/>
    <w:rsid w:val="6B6D6149"/>
    <w:rsid w:val="6BFF5A02"/>
    <w:rsid w:val="6C384A25"/>
    <w:rsid w:val="6C7227EB"/>
    <w:rsid w:val="6D25E6B9"/>
    <w:rsid w:val="6DE7FF61"/>
    <w:rsid w:val="6E816DF3"/>
    <w:rsid w:val="6F677480"/>
    <w:rsid w:val="6FBE2BA6"/>
    <w:rsid w:val="71AE56D4"/>
    <w:rsid w:val="71D41E87"/>
    <w:rsid w:val="72ED47BB"/>
    <w:rsid w:val="73DF118B"/>
    <w:rsid w:val="73F60AE0"/>
    <w:rsid w:val="75B8552F"/>
    <w:rsid w:val="763E08E3"/>
    <w:rsid w:val="76B850E0"/>
    <w:rsid w:val="77130569"/>
    <w:rsid w:val="77CA7F44"/>
    <w:rsid w:val="782D1423"/>
    <w:rsid w:val="79404F19"/>
    <w:rsid w:val="7B2C39A7"/>
    <w:rsid w:val="7B395D62"/>
    <w:rsid w:val="7B3B4EE9"/>
    <w:rsid w:val="7BB706E1"/>
    <w:rsid w:val="7BCC55C4"/>
    <w:rsid w:val="7BEC255D"/>
    <w:rsid w:val="7BED5AFC"/>
    <w:rsid w:val="7BF74E6F"/>
    <w:rsid w:val="7DBF7B04"/>
    <w:rsid w:val="7DDFE30C"/>
    <w:rsid w:val="7E2B7DF6"/>
    <w:rsid w:val="7E4B9560"/>
    <w:rsid w:val="7EDD8830"/>
    <w:rsid w:val="7F3F7030"/>
    <w:rsid w:val="7FBBC591"/>
    <w:rsid w:val="7FF7766B"/>
    <w:rsid w:val="8EFF0BA2"/>
    <w:rsid w:val="9B8B3A37"/>
    <w:rsid w:val="9E6C96E5"/>
    <w:rsid w:val="9F3B04BA"/>
    <w:rsid w:val="9F9E9914"/>
    <w:rsid w:val="AFF34EE8"/>
    <w:rsid w:val="B7BE1828"/>
    <w:rsid w:val="B7DDC48F"/>
    <w:rsid w:val="B9EC1F6B"/>
    <w:rsid w:val="BCBFDBC3"/>
    <w:rsid w:val="BE4B81A0"/>
    <w:rsid w:val="BE7FD11B"/>
    <w:rsid w:val="BEAF0FE3"/>
    <w:rsid w:val="C926B84C"/>
    <w:rsid w:val="CBFC86FA"/>
    <w:rsid w:val="CFC5D235"/>
    <w:rsid w:val="D2BFFEDD"/>
    <w:rsid w:val="D3B59007"/>
    <w:rsid w:val="D6FC1E93"/>
    <w:rsid w:val="D9CDA867"/>
    <w:rsid w:val="D9FBDCA5"/>
    <w:rsid w:val="DB7F31A3"/>
    <w:rsid w:val="DD29958E"/>
    <w:rsid w:val="DFDF9FD0"/>
    <w:rsid w:val="DFE2966D"/>
    <w:rsid w:val="EABFFBAC"/>
    <w:rsid w:val="EBE75F25"/>
    <w:rsid w:val="EFAEBF73"/>
    <w:rsid w:val="F2FB3481"/>
    <w:rsid w:val="F65F1320"/>
    <w:rsid w:val="F67EA3DC"/>
    <w:rsid w:val="F6F752DB"/>
    <w:rsid w:val="F9FF4612"/>
    <w:rsid w:val="FB77AD84"/>
    <w:rsid w:val="FBD4126C"/>
    <w:rsid w:val="FBFF3066"/>
    <w:rsid w:val="FC4FEBE9"/>
    <w:rsid w:val="FC7FFE5E"/>
    <w:rsid w:val="FCAF934F"/>
    <w:rsid w:val="FEB7CA6A"/>
    <w:rsid w:val="FF6725F8"/>
    <w:rsid w:val="FFAF4B07"/>
    <w:rsid w:val="FFFA252A"/>
    <w:rsid w:val="FFFD0DC9"/>
  </w:rsids>
  <m:mathPr>
    <m:mathFont m:val="Cambria Math"/>
    <m:brkBin m:val="before"/>
    <m:brkBinSub m:val="--"/>
    <m:smallFrac m:val="1"/>
    <m:dispDef/>
    <m:lMargin m:val="5102"/>
    <m:rMargin m:val="5102"/>
    <m:defJc m:val="centerGroup"/>
    <m:wrapIndent m:val="1440"/>
    <m:intLim m:val="undOvr"/>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6253</Words>
  <Characters>6435</Characters>
  <Lines>0</Lines>
  <Paragraphs>0</Paragraphs>
  <TotalTime>1</TotalTime>
  <ScaleCrop>false</ScaleCrop>
  <LinksUpToDate>false</LinksUpToDate>
  <CharactersWithSpaces>7601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2025-06-24T10:57:00Z</dcterms:created>
  <dc:creator>招标中心</dc:creator>
  <cp:lastModifiedBy>招标中心</cp:lastModifiedBy>
  <cp:lastPrinted>2025-06-25T04:52:58Z</cp:lastPrinted>
  <dcterms:modified xsi:type="dcterms:W3CDTF">2025-06-25T04:53:47Z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1F1BCFA1F4B34E3DBF187BAF2AF37910_11</vt:lpwstr>
  </property>
  <property fmtid="{D5CDD505-2E9C-101B-9397-08002B2CF9AE}" pid="4" name="KSOTemplateDocerSaveRecord">
    <vt:lpwstr>eyJoZGlkIjoiYjhkNDE0N2I0ODQ0ZTg0ZjcyZGM2YjIzYTk5NDNmYzUiLCJ1c2VySWQiOiIxNjI3NTkxNTQ3In0=</vt:lpwstr>
  </property>
</Properties>
</file>