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关于修订《西藏自治区住房公积金归集管理暂行办法》《西藏自治区住房公积金提取管理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暂行办法》《西藏自治区住房公积金贷款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管理暂行办法》有关条款的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各地（市）住房和城乡建设局、财政局，中国人民银行各地（口岸）支行：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为贯彻落实住房公积金政策，提高公积金服务水平，</w:t>
      </w:r>
      <w:r>
        <w:rPr>
          <w:rFonts w:hint="eastAsia" w:ascii="仿宋_GB2312" w:eastAsia="仿宋_GB2312"/>
          <w:sz w:val="32"/>
          <w:szCs w:val="32"/>
        </w:rPr>
        <w:t>充分发挥住房公积金制度的保障作用</w:t>
      </w:r>
      <w:r>
        <w:rPr>
          <w:rFonts w:hint="eastAsia" w:ascii="仿宋_GB2312" w:eastAsia="仿宋_GB2312"/>
          <w:sz w:val="32"/>
          <w:szCs w:val="32"/>
          <w:lang w:eastAsia="zh-CN"/>
        </w:rPr>
        <w:t>。结合我区实际，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西藏自治区住房公积金归集管理暂行办法》《西藏自治区住房公积金提取管理暂行办法》《西藏自治区住房公积金贷款管理暂行办法》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藏建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金监管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〔2022〕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）有关条款予以修订，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通知如下。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80"/>
        </w:tabs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优化住房公积金提取业务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一）将《西藏自治区住房公积金提取管理暂行办法》中“第八条”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职工购买、新建、翻建、大修、城镇老旧小区或既有住宅加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装电梯具有所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权的自住住房，申请提取时限由现行的3年期统一延长至4年期。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将《西藏自治区住房公积金提取管理暂行办法》中“第十条第一款、第二款‘每次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提取金额不超过本人账户余额80%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修改为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每次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提取时公积金个人账户余额至少保留一个月的缴存额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’”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三）扩大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提取范围。增加“被纳入我区城镇居民最低生活保障的</w:t>
      </w:r>
      <w:r>
        <w:rPr>
          <w:rFonts w:hint="eastAsia" w:ascii="仿宋_GB2312" w:eastAsia="仿宋_GB2312"/>
          <w:sz w:val="32"/>
          <w:szCs w:val="32"/>
        </w:rPr>
        <w:t>职工或配偶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可申请提取公积金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缓解生活压力，切实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发挥住房公积金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对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低收入人群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的保障作用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申请条件</w:t>
      </w:r>
      <w:r>
        <w:rPr>
          <w:rFonts w:hint="eastAsia" w:ascii="仿宋_GB2312" w:eastAsia="仿宋_GB2312"/>
          <w:sz w:val="32"/>
          <w:szCs w:val="32"/>
          <w:lang w:eastAsia="zh-CN"/>
        </w:rPr>
        <w:t>（需同时具备以下条件）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职工及配偶无公积金贷款（含异地公积金贷款）；职工或配偶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被纳入西藏自治区城镇居民最低生活保障范围；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未被公积金业务系统纳入失信名单。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申请频次及额度：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符合条件的职工可根据需要，灵活自由选择</w:t>
      </w:r>
      <w:r>
        <w:rPr>
          <w:rFonts w:hint="eastAsia" w:ascii="仿宋_GB2312" w:eastAsia="仿宋_GB2312"/>
          <w:sz w:val="32"/>
          <w:szCs w:val="32"/>
        </w:rPr>
        <w:t>按月或按年提取，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提取额不</w:t>
      </w:r>
      <w:r>
        <w:rPr>
          <w:rFonts w:hint="eastAsia" w:ascii="仿宋_GB2312" w:eastAsia="仿宋_GB2312"/>
          <w:sz w:val="32"/>
          <w:szCs w:val="32"/>
          <w:lang w:eastAsia="zh-CN"/>
        </w:rPr>
        <w:t>得</w:t>
      </w:r>
      <w:r>
        <w:rPr>
          <w:rFonts w:hint="eastAsia" w:ascii="仿宋_GB2312" w:eastAsia="仿宋_GB2312"/>
          <w:sz w:val="32"/>
          <w:szCs w:val="32"/>
        </w:rPr>
        <w:t>超过</w:t>
      </w:r>
      <w:r>
        <w:rPr>
          <w:rFonts w:hint="eastAsia" w:ascii="仿宋_GB2312" w:eastAsia="仿宋_GB2312"/>
          <w:sz w:val="32"/>
          <w:szCs w:val="32"/>
          <w:lang w:eastAsia="zh-CN"/>
        </w:rPr>
        <w:t>我区</w:t>
      </w:r>
      <w:r>
        <w:rPr>
          <w:rFonts w:hint="eastAsia" w:ascii="仿宋_GB2312" w:eastAsia="仿宋_GB2312"/>
          <w:sz w:val="32"/>
          <w:szCs w:val="32"/>
        </w:rPr>
        <w:t>人社部门公布的最</w:t>
      </w:r>
      <w:r>
        <w:rPr>
          <w:rFonts w:hint="eastAsia" w:ascii="仿宋_GB2312" w:eastAsia="仿宋_GB2312"/>
          <w:sz w:val="32"/>
          <w:szCs w:val="32"/>
          <w:lang w:eastAsia="zh-CN"/>
        </w:rPr>
        <w:t>新我区最</w:t>
      </w:r>
      <w:r>
        <w:rPr>
          <w:rFonts w:hint="eastAsia" w:ascii="仿宋_GB2312" w:eastAsia="仿宋_GB2312"/>
          <w:sz w:val="32"/>
          <w:szCs w:val="32"/>
        </w:rPr>
        <w:t>低月平均工资</w:t>
      </w:r>
      <w:r>
        <w:rPr>
          <w:rFonts w:hint="eastAsia" w:ascii="仿宋_GB2312" w:eastAsia="仿宋_GB2312"/>
          <w:sz w:val="32"/>
          <w:szCs w:val="32"/>
          <w:lang w:eastAsia="zh-CN"/>
        </w:rPr>
        <w:t>标准</w:t>
      </w:r>
      <w:r>
        <w:rPr>
          <w:rFonts w:hint="eastAsia" w:ascii="仿宋_GB2312" w:eastAsia="仿宋_GB2312"/>
          <w:sz w:val="32"/>
          <w:szCs w:val="32"/>
        </w:rPr>
        <w:t>，且不超过申请时职工及配偶的住房公积金账户余额。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提供的材料（原件）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职工本人身份证；低保证明；最低生活保障金发放银行领取清单（最近3个月领取明细）；配偶被</w:t>
      </w:r>
      <w:r>
        <w:rPr>
          <w:rFonts w:hint="eastAsia" w:ascii="仿宋_GB2312" w:eastAsia="仿宋_GB2312"/>
          <w:sz w:val="32"/>
          <w:szCs w:val="32"/>
        </w:rPr>
        <w:t>纳入低保范围或申请提取配偶住房公积金的应提供结婚证。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优化住房公积金贷款业务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一）将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《西藏自治区住房公积金贷款管理暂行办法》中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“第十三条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公积金最高贷款期限由20年延长至30年”</w:t>
      </w:r>
      <w:r>
        <w:rPr>
          <w:rFonts w:hint="eastAsia" w:ascii="仿宋_GB2312" w:eastAsia="仿宋_GB2312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二）对符合住房公积金贷款条件的职工，购买</w:t>
      </w:r>
      <w:r>
        <w:rPr>
          <w:rFonts w:hint="eastAsia" w:ascii="仿宋_GB2312" w:eastAsia="仿宋_GB2312"/>
          <w:sz w:val="32"/>
          <w:szCs w:val="32"/>
        </w:rPr>
        <w:t>首套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新建住房且为绿色建筑评价标准二星及以上或多子女家庭</w:t>
      </w:r>
      <w:r>
        <w:rPr>
          <w:rFonts w:hint="eastAsia" w:ascii="仿宋_GB2312" w:eastAsia="仿宋_GB2312"/>
          <w:sz w:val="32"/>
          <w:szCs w:val="32"/>
          <w:lang w:eastAsia="zh-CN"/>
        </w:rPr>
        <w:t>（不做累加计算）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在现行贷款额度的基础上上浮10%，即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区内购房最高贷款额度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提高至</w:t>
      </w:r>
      <w:r>
        <w:rPr>
          <w:rFonts w:hint="eastAsia" w:ascii="仿宋_GB2312" w:eastAsia="仿宋_GB2312"/>
          <w:sz w:val="32"/>
          <w:szCs w:val="32"/>
        </w:rPr>
        <w:t>为132万元、区外购房最高贷款额度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提高至</w:t>
      </w:r>
      <w:r>
        <w:rPr>
          <w:rFonts w:hint="eastAsia" w:ascii="仿宋_GB2312" w:eastAsia="仿宋_GB2312"/>
          <w:sz w:val="32"/>
          <w:szCs w:val="32"/>
        </w:rPr>
        <w:t>为100万元。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多子女家庭是指生育二孩及以上子女的家庭（其中至少有一个未成年子女），通过提供户口簿</w:t>
      </w:r>
      <w:r>
        <w:rPr>
          <w:rFonts w:hint="eastAsia" w:hAnsiTheme="minorHAnsi" w:cstheme="minorBidi"/>
          <w:color w:val="auto"/>
          <w:kern w:val="2"/>
          <w:sz w:val="32"/>
          <w:szCs w:val="32"/>
          <w:lang w:val="en-US" w:eastAsia="zh-CN" w:bidi="ar-SA"/>
        </w:rPr>
        <w:t>、出生证明等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证明其亲属关系。离婚或再婚家庭未成年子女人数通过其离婚判决书、离婚协议书等材料载明的有抚养权的子女人数来认定。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西藏自治区住房和城乡建设厅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  西藏自治区财政厅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中国人民银行拉萨中心支行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754A3"/>
    <w:multiLevelType w:val="singleLevel"/>
    <w:tmpl w:val="43E754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mE4MDZhNjMzNjJjMjBjNzYzMTk5MTc1ZThlOGQifQ=="/>
  </w:docVars>
  <w:rsids>
    <w:rsidRoot w:val="0BE60102"/>
    <w:rsid w:val="08C00655"/>
    <w:rsid w:val="0BE60102"/>
    <w:rsid w:val="1CF5BAD5"/>
    <w:rsid w:val="1EBF9C8D"/>
    <w:rsid w:val="289A78F2"/>
    <w:rsid w:val="2B7B3487"/>
    <w:rsid w:val="3A9D109C"/>
    <w:rsid w:val="3FB6F4F4"/>
    <w:rsid w:val="3FFF6EF2"/>
    <w:rsid w:val="43634E50"/>
    <w:rsid w:val="5FFB8AF0"/>
    <w:rsid w:val="5FFF475E"/>
    <w:rsid w:val="63FF0606"/>
    <w:rsid w:val="6B2EB731"/>
    <w:rsid w:val="7F074280"/>
    <w:rsid w:val="7F379DC7"/>
    <w:rsid w:val="7F678E7F"/>
    <w:rsid w:val="7F95262F"/>
    <w:rsid w:val="7F9EF764"/>
    <w:rsid w:val="7FECC087"/>
    <w:rsid w:val="88BF5658"/>
    <w:rsid w:val="9FDFCE13"/>
    <w:rsid w:val="AF2B226C"/>
    <w:rsid w:val="B3DFD7FF"/>
    <w:rsid w:val="B7FF54F9"/>
    <w:rsid w:val="BBFFAD01"/>
    <w:rsid w:val="BDB2FF49"/>
    <w:rsid w:val="BDFFC8B8"/>
    <w:rsid w:val="BF7BF841"/>
    <w:rsid w:val="BFCAC8DA"/>
    <w:rsid w:val="D7FE2140"/>
    <w:rsid w:val="D9BF348D"/>
    <w:rsid w:val="DFBAF050"/>
    <w:rsid w:val="E1FF3B89"/>
    <w:rsid w:val="F7BFA8CC"/>
    <w:rsid w:val="F7FEBE23"/>
    <w:rsid w:val="FDFDAB69"/>
    <w:rsid w:val="FE0BE5C4"/>
    <w:rsid w:val="FFAA0069"/>
    <w:rsid w:val="FFADD14F"/>
    <w:rsid w:val="FFEFE662"/>
    <w:rsid w:val="FFF7B0CC"/>
    <w:rsid w:val="FF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widowControl/>
      <w:suppressAutoHyphens/>
      <w:topLinePunct/>
      <w:spacing w:line="360" w:lineRule="auto"/>
      <w:ind w:firstLine="640" w:firstLineChars="200"/>
    </w:pPr>
    <w:rPr>
      <w:rFonts w:ascii="仿宋_GB2312" w:hAnsi="Calibri" w:eastAsia="仿宋_GB2312"/>
      <w:sz w:val="32"/>
      <w:szCs w:val="20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Body Text Indent 2"/>
    <w:basedOn w:val="1"/>
    <w:next w:val="7"/>
    <w:qFormat/>
    <w:uiPriority w:val="0"/>
    <w:pPr>
      <w:spacing w:after="120" w:line="480" w:lineRule="auto"/>
      <w:ind w:left="420" w:leftChars="200"/>
    </w:pPr>
  </w:style>
  <w:style w:type="paragraph" w:customStyle="1" w:styleId="7">
    <w:name w:val="reader-word-layer reader-word-s46-2"/>
    <w:basedOn w:val="1"/>
    <w:next w:val="8"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8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customStyle="1" w:styleId="14">
    <w:name w:val="正文1"/>
    <w:basedOn w:val="1"/>
    <w:next w:val="6"/>
    <w:qFormat/>
    <w:uiPriority w:val="0"/>
    <w:pPr>
      <w:spacing w:line="480" w:lineRule="auto"/>
      <w:ind w:left="420" w:left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1252</Words>
  <Characters>1298</Characters>
  <Lines>0</Lines>
  <Paragraphs>0</Paragraphs>
  <TotalTime>226</TotalTime>
  <ScaleCrop>false</ScaleCrop>
  <LinksUpToDate>false</LinksUpToDate>
  <CharactersWithSpaces>1309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2023-08-01T16:49:00Z</dcterms:created>
  <dc:creator>一朵像小象的云</dc:creator>
  <cp:lastModifiedBy>Monster</cp:lastModifiedBy>
  <cp:lastPrinted>2023-08-09T02:05:00Z</cp:lastPrinted>
  <dcterms:modified xsi:type="dcterms:W3CDTF">2023-09-06T08:05:06Z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07DA87414F1847EF82C5B5FD9DF28335_11</vt:lpwstr>
  </property>
</Properties>
</file>